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EC0C" w14:textId="77777777" w:rsidR="009673DE" w:rsidRPr="004F5CC7" w:rsidRDefault="00AC24F4">
      <w:pPr>
        <w:rPr>
          <w:rFonts w:cs="Arial"/>
        </w:rPr>
      </w:pPr>
      <w:r>
        <w:rPr>
          <w:rFonts w:cs="Arial"/>
          <w:noProof/>
          <w:lang w:val="en-US"/>
        </w:rPr>
        <w:drawing>
          <wp:anchor distT="0" distB="0" distL="114300" distR="114300" simplePos="0" relativeHeight="251660288" behindDoc="0" locked="0" layoutInCell="1" allowOverlap="1" wp14:anchorId="6B47125E" wp14:editId="2098872D">
            <wp:simplePos x="0" y="0"/>
            <wp:positionH relativeFrom="column">
              <wp:posOffset>8813165</wp:posOffset>
            </wp:positionH>
            <wp:positionV relativeFrom="paragraph">
              <wp:posOffset>-272415</wp:posOffset>
            </wp:positionV>
            <wp:extent cx="841868" cy="1073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ble2.png"/>
                    <pic:cNvPicPr/>
                  </pic:nvPicPr>
                  <pic:blipFill>
                    <a:blip r:embed="rId9">
                      <a:extLst>
                        <a:ext uri="{28A0092B-C50C-407E-A947-70E740481C1C}">
                          <a14:useLocalDpi xmlns:a14="http://schemas.microsoft.com/office/drawing/2010/main" val="0"/>
                        </a:ext>
                      </a:extLst>
                    </a:blip>
                    <a:stretch>
                      <a:fillRect/>
                    </a:stretch>
                  </pic:blipFill>
                  <pic:spPr>
                    <a:xfrm>
                      <a:off x="0" y="0"/>
                      <a:ext cx="841868" cy="1073150"/>
                    </a:xfrm>
                    <a:prstGeom prst="rect">
                      <a:avLst/>
                    </a:prstGeom>
                  </pic:spPr>
                </pic:pic>
              </a:graphicData>
            </a:graphic>
            <wp14:sizeRelH relativeFrom="page">
              <wp14:pctWidth>0</wp14:pctWidth>
            </wp14:sizeRelH>
            <wp14:sizeRelV relativeFrom="page">
              <wp14:pctHeight>0</wp14:pctHeight>
            </wp14:sizeRelV>
          </wp:anchor>
        </w:drawing>
      </w:r>
      <w:r w:rsidR="009673DE" w:rsidRPr="004F5CC7">
        <w:rPr>
          <w:rFonts w:cs="Arial"/>
          <w:noProof/>
          <w:lang w:val="en-US"/>
        </w:rPr>
        <mc:AlternateContent>
          <mc:Choice Requires="wps">
            <w:drawing>
              <wp:anchor distT="0" distB="0" distL="118745" distR="118745" simplePos="0" relativeHeight="251659264" behindDoc="0" locked="0" layoutInCell="1" allowOverlap="0" wp14:anchorId="168699E6" wp14:editId="44CACA25">
                <wp:simplePos x="0" y="0"/>
                <wp:positionH relativeFrom="margin">
                  <wp:posOffset>-22860</wp:posOffset>
                </wp:positionH>
                <wp:positionV relativeFrom="page">
                  <wp:posOffset>605790</wp:posOffset>
                </wp:positionV>
                <wp:extent cx="8625205" cy="445770"/>
                <wp:effectExtent l="0" t="0" r="23495" b="11430"/>
                <wp:wrapNone/>
                <wp:docPr id="208" name="Rectangle 208"/>
                <wp:cNvGraphicFramePr/>
                <a:graphic xmlns:a="http://schemas.openxmlformats.org/drawingml/2006/main">
                  <a:graphicData uri="http://schemas.microsoft.com/office/word/2010/wordprocessingShape">
                    <wps:wsp>
                      <wps:cNvSpPr/>
                      <wps:spPr>
                        <a:xfrm>
                          <a:off x="0" y="0"/>
                          <a:ext cx="8625205" cy="445770"/>
                        </a:xfrm>
                        <a:prstGeom prst="rect">
                          <a:avLst/>
                        </a:prstGeom>
                        <a:solidFill>
                          <a:srgbClr val="E94343"/>
                        </a:solidFill>
                        <a:ln>
                          <a:solidFill>
                            <a:srgbClr val="E94343"/>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20755891"/>
                              <w:dataBinding w:prefixMappings="xmlns:ns0='http://purl.org/dc/elements/1.1/' xmlns:ns1='http://schemas.openxmlformats.org/package/2006/metadata/core-properties' " w:xpath="/ns1:coreProperties[1]/ns0:title[1]" w:storeItemID="{6C3C8BC8-F283-45AE-878A-BAB7291924A1}"/>
                              <w:text/>
                            </w:sdtPr>
                            <w:sdtEndPr>
                              <w:rPr>
                                <w:rStyle w:val="Hyperlink"/>
                              </w:rPr>
                            </w:sdtEndPr>
                            <w:sdtContent>
                              <w:p w14:paraId="09CDEB7C" w14:textId="77777777" w:rsidR="00DB48D6" w:rsidRPr="00AC55C3" w:rsidRDefault="00DB48D6" w:rsidP="00AC24F4">
                                <w:pPr>
                                  <w:pStyle w:val="Default"/>
                                  <w:shd w:val="clear" w:color="auto" w:fill="E94343"/>
                                  <w:jc w:val="center"/>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5C3">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Bramble Academy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F4EF5A" id="Rectangle 208" o:spid="_x0000_s1026" style="position:absolute;margin-left:-1.8pt;margin-top:47.7pt;width:679.15pt;height:35.1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" o:allowoverlap="f" fillcolor="#e94343" strokecolor="#e94343" strokeweight="1pt">
                <v:textbox>
                  <w:txbxContent>
                    <w:sdt>
                      <w:sdtPr>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20755891"/>
                        <w:dataBinding w:prefixMappings="xmlns:ns0='http://purl.org/dc/elements/1.1/' xmlns:ns1='http://schemas.openxmlformats.org/package/2006/metadata/core-properties' " w:xpath="/ns1:coreProperties[1]/ns0:title[1]" w:storeItemID="{6C3C8BC8-F283-45AE-878A-BAB7291924A1}"/>
                        <w:text/>
                      </w:sdtPr>
                      <w:sdtEndPr>
                        <w:rPr>
                          <w:rStyle w:val="Hyperlink"/>
                        </w:rPr>
                      </w:sdtEndPr>
                      <w:sdtContent>
                        <w:p w:rsidR="00DB48D6" w:rsidRPr="00AC55C3" w:rsidRDefault="00DB48D6" w:rsidP="00AC24F4">
                          <w:pPr>
                            <w:pStyle w:val="Default"/>
                            <w:shd w:val="clear" w:color="auto" w:fill="E94343"/>
                            <w:jc w:val="center"/>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5C3">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Style w:val="Hyperlink"/>
                              <w:rFonts w:asciiTheme="minorHAnsi" w:hAnsiTheme="minorHAnsi"/>
                              <w:color w:val="000000" w:themeColor="text1"/>
                              <w:sz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Bramble Academy</w:t>
                          </w:r>
                        </w:p>
                      </w:sdtContent>
                    </w:sdt>
                  </w:txbxContent>
                </v:textbox>
                <w10:wrap anchorx="margin" anchory="page"/>
              </v:rect>
            </w:pict>
          </mc:Fallback>
        </mc:AlternateContent>
      </w:r>
    </w:p>
    <w:p w14:paraId="718D6664" w14:textId="77777777" w:rsidR="009673DE" w:rsidRPr="004F5CC7" w:rsidRDefault="009673DE">
      <w:pPr>
        <w:rPr>
          <w:rFonts w:cs="Arial"/>
        </w:rPr>
      </w:pPr>
    </w:p>
    <w:p w14:paraId="589E0908" w14:textId="77777777" w:rsidR="00732FC6" w:rsidRDefault="00732FC6" w:rsidP="009673DE">
      <w:pPr>
        <w:rPr>
          <w:rFonts w:cs="Arial"/>
        </w:rPr>
      </w:pPr>
    </w:p>
    <w:tbl>
      <w:tblPr>
        <w:tblStyle w:val="TableGrid"/>
        <w:tblW w:w="15304" w:type="dxa"/>
        <w:tblLook w:val="04A0" w:firstRow="1" w:lastRow="0" w:firstColumn="1" w:lastColumn="0" w:noHBand="0" w:noVBand="1"/>
      </w:tblPr>
      <w:tblGrid>
        <w:gridCol w:w="2488"/>
        <w:gridCol w:w="1945"/>
        <w:gridCol w:w="3565"/>
        <w:gridCol w:w="4677"/>
        <w:gridCol w:w="2629"/>
      </w:tblGrid>
      <w:tr w:rsidR="00260947" w14:paraId="7DABD3B6" w14:textId="77777777" w:rsidTr="00260947">
        <w:tc>
          <w:tcPr>
            <w:tcW w:w="15304" w:type="dxa"/>
            <w:gridSpan w:val="5"/>
            <w:shd w:val="clear" w:color="auto" w:fill="E94343"/>
          </w:tcPr>
          <w:p w14:paraId="41CD57BD" w14:textId="77777777" w:rsidR="00260947" w:rsidRPr="004F5CC7" w:rsidRDefault="00260947" w:rsidP="00260947">
            <w:pPr>
              <w:pStyle w:val="ListParagraph"/>
              <w:ind w:left="426"/>
              <w:rPr>
                <w:rFonts w:cs="Arial"/>
                <w:b/>
              </w:rPr>
            </w:pPr>
            <w:r>
              <w:rPr>
                <w:rFonts w:cs="Arial"/>
                <w:b/>
              </w:rPr>
              <w:t>Review of expenditure in 2016/17</w:t>
            </w:r>
          </w:p>
        </w:tc>
      </w:tr>
      <w:tr w:rsidR="00260947" w14:paraId="63531CA0" w14:textId="77777777" w:rsidTr="008B4437">
        <w:tc>
          <w:tcPr>
            <w:tcW w:w="15304" w:type="dxa"/>
            <w:gridSpan w:val="5"/>
          </w:tcPr>
          <w:p w14:paraId="43E5D618" w14:textId="77777777" w:rsidR="00260947" w:rsidRPr="004F5CC7" w:rsidRDefault="00260947" w:rsidP="00260947">
            <w:pPr>
              <w:rPr>
                <w:rFonts w:cs="Arial"/>
                <w:b/>
              </w:rPr>
            </w:pPr>
            <w:r w:rsidRPr="004F5CC7">
              <w:rPr>
                <w:rFonts w:cs="Arial"/>
              </w:rPr>
              <w:t xml:space="preserve">The </w:t>
            </w:r>
            <w:r>
              <w:rPr>
                <w:rFonts w:cs="Arial"/>
              </w:rPr>
              <w:t>three</w:t>
            </w:r>
            <w:r w:rsidRPr="004F5CC7">
              <w:rPr>
                <w:rFonts w:cs="Arial"/>
              </w:rPr>
              <w:t xml:space="preserve"> headings below enable schools to demonstrate how they are using the Pupil Premium to improve classroom pedagogy, provide targeted support and support whole school strategies.</w:t>
            </w:r>
          </w:p>
        </w:tc>
      </w:tr>
      <w:tr w:rsidR="00260947" w14:paraId="2D86393C" w14:textId="77777777" w:rsidTr="00260947">
        <w:tc>
          <w:tcPr>
            <w:tcW w:w="15304" w:type="dxa"/>
            <w:gridSpan w:val="5"/>
            <w:shd w:val="clear" w:color="auto" w:fill="E94343"/>
          </w:tcPr>
          <w:p w14:paraId="067E1207" w14:textId="77777777" w:rsidR="00260947" w:rsidRPr="00260947" w:rsidRDefault="00260947" w:rsidP="00260947">
            <w:pPr>
              <w:pStyle w:val="ListParagraph"/>
              <w:numPr>
                <w:ilvl w:val="0"/>
                <w:numId w:val="33"/>
              </w:numPr>
              <w:rPr>
                <w:rFonts w:cs="Arial"/>
              </w:rPr>
            </w:pPr>
            <w:r w:rsidRPr="00260947">
              <w:rPr>
                <w:rFonts w:cs="Arial"/>
                <w:b/>
              </w:rPr>
              <w:t>Quality Teaching for all- £144,865.70</w:t>
            </w:r>
          </w:p>
        </w:tc>
      </w:tr>
      <w:tr w:rsidR="003644CB" w14:paraId="16DAE5EF" w14:textId="77777777" w:rsidTr="00260947">
        <w:tc>
          <w:tcPr>
            <w:tcW w:w="2547" w:type="dxa"/>
          </w:tcPr>
          <w:p w14:paraId="114E9076" w14:textId="77777777" w:rsidR="00260947" w:rsidRPr="004F5CC7" w:rsidRDefault="00260947" w:rsidP="00260947">
            <w:pPr>
              <w:rPr>
                <w:rFonts w:cs="Arial"/>
                <w:b/>
              </w:rPr>
            </w:pPr>
            <w:r w:rsidRPr="004F5CC7">
              <w:rPr>
                <w:rFonts w:cs="Arial"/>
                <w:b/>
              </w:rPr>
              <w:t>Action</w:t>
            </w:r>
          </w:p>
        </w:tc>
        <w:tc>
          <w:tcPr>
            <w:tcW w:w="1984" w:type="dxa"/>
          </w:tcPr>
          <w:p w14:paraId="0E08B44B" w14:textId="77777777" w:rsidR="00260947" w:rsidRPr="004F5CC7" w:rsidRDefault="00260947" w:rsidP="00260947">
            <w:pPr>
              <w:rPr>
                <w:rFonts w:cs="Arial"/>
                <w:b/>
              </w:rPr>
            </w:pPr>
            <w:r w:rsidRPr="004F5CC7">
              <w:rPr>
                <w:rFonts w:cs="Arial"/>
                <w:b/>
              </w:rPr>
              <w:t>Cost</w:t>
            </w:r>
          </w:p>
        </w:tc>
        <w:tc>
          <w:tcPr>
            <w:tcW w:w="3686" w:type="dxa"/>
          </w:tcPr>
          <w:p w14:paraId="7EF96846" w14:textId="77777777" w:rsidR="00260947" w:rsidRPr="004F5CC7" w:rsidRDefault="00260947" w:rsidP="00260947">
            <w:pPr>
              <w:rPr>
                <w:rFonts w:cs="Arial"/>
              </w:rPr>
            </w:pPr>
            <w:r w:rsidRPr="004F5CC7">
              <w:rPr>
                <w:rFonts w:cs="Arial"/>
                <w:b/>
              </w:rPr>
              <w:t xml:space="preserve">Expected Outcomes: </w:t>
            </w:r>
            <w:r w:rsidRPr="004F5CC7">
              <w:rPr>
                <w:rFonts w:cs="Arial"/>
              </w:rPr>
              <w:t>Include impact on pupils not eligible for PP, if appropriate.</w:t>
            </w:r>
          </w:p>
        </w:tc>
        <w:tc>
          <w:tcPr>
            <w:tcW w:w="4394" w:type="dxa"/>
          </w:tcPr>
          <w:p w14:paraId="41224D20" w14:textId="77777777" w:rsidR="00260947" w:rsidRPr="004F5CC7" w:rsidRDefault="00260947" w:rsidP="00260947">
            <w:pPr>
              <w:rPr>
                <w:rFonts w:cs="Arial"/>
                <w:b/>
              </w:rPr>
            </w:pPr>
            <w:r w:rsidRPr="004F5CC7">
              <w:rPr>
                <w:rFonts w:cs="Arial"/>
                <w:b/>
              </w:rPr>
              <w:t>Impact</w:t>
            </w:r>
          </w:p>
          <w:p w14:paraId="5BF59CAA" w14:textId="77777777" w:rsidR="00260947" w:rsidRPr="004F5CC7" w:rsidRDefault="00260947" w:rsidP="00260947">
            <w:pPr>
              <w:rPr>
                <w:rFonts w:cs="Arial"/>
                <w:b/>
              </w:rPr>
            </w:pPr>
            <w:r w:rsidRPr="004F5CC7">
              <w:rPr>
                <w:rFonts w:cs="Arial"/>
              </w:rPr>
              <w:t>(and whether you will continue with this approach)</w:t>
            </w:r>
          </w:p>
        </w:tc>
        <w:tc>
          <w:tcPr>
            <w:tcW w:w="2693" w:type="dxa"/>
          </w:tcPr>
          <w:p w14:paraId="78881001" w14:textId="77777777" w:rsidR="00260947" w:rsidRPr="004F5CC7" w:rsidRDefault="00260947" w:rsidP="00260947">
            <w:pPr>
              <w:rPr>
                <w:rFonts w:cs="Arial"/>
                <w:b/>
              </w:rPr>
            </w:pPr>
            <w:r w:rsidRPr="004F5CC7">
              <w:rPr>
                <w:rFonts w:cs="Arial"/>
                <w:b/>
              </w:rPr>
              <w:t>Lessons Learned</w:t>
            </w:r>
          </w:p>
        </w:tc>
      </w:tr>
      <w:tr w:rsidR="003644CB" w14:paraId="5BCC1E8F" w14:textId="77777777" w:rsidTr="00260947">
        <w:tc>
          <w:tcPr>
            <w:tcW w:w="2547" w:type="dxa"/>
          </w:tcPr>
          <w:p w14:paraId="66B3C721" w14:textId="77777777" w:rsidR="00260947" w:rsidRDefault="00260947" w:rsidP="00260947">
            <w:pPr>
              <w:rPr>
                <w:rFonts w:cs="Arial"/>
              </w:rPr>
            </w:pPr>
            <w:r w:rsidRPr="00E9342B">
              <w:rPr>
                <w:rFonts w:cs="Arial"/>
                <w:b/>
              </w:rPr>
              <w:t>A</w:t>
            </w:r>
            <w:r>
              <w:rPr>
                <w:rFonts w:cs="Arial"/>
                <w:b/>
              </w:rPr>
              <w:t>dditional TA Support within lessons</w:t>
            </w:r>
            <w:r>
              <w:rPr>
                <w:rFonts w:cs="Arial"/>
              </w:rPr>
              <w:t xml:space="preserve"> </w:t>
            </w:r>
          </w:p>
          <w:p w14:paraId="19EB3DDE" w14:textId="34438838" w:rsidR="00260947" w:rsidRDefault="00260947" w:rsidP="009673DE">
            <w:pPr>
              <w:rPr>
                <w:rFonts w:cs="Arial"/>
              </w:rPr>
            </w:pPr>
            <w:r>
              <w:rPr>
                <w:rFonts w:cs="Arial"/>
              </w:rPr>
              <w:t>Literacy and Mathematics support which is focussed on the learning needs</w:t>
            </w:r>
            <w:r w:rsidR="00AC6850">
              <w:rPr>
                <w:rFonts w:cs="Arial"/>
              </w:rPr>
              <w:t xml:space="preserve"> of pupils</w:t>
            </w:r>
            <w:r w:rsidR="00CE53E0">
              <w:rPr>
                <w:rFonts w:cs="Arial"/>
              </w:rPr>
              <w:t>.</w:t>
            </w:r>
          </w:p>
        </w:tc>
        <w:tc>
          <w:tcPr>
            <w:tcW w:w="1984" w:type="dxa"/>
          </w:tcPr>
          <w:p w14:paraId="70B1314E" w14:textId="77777777" w:rsidR="00260947" w:rsidRDefault="005D5B3C" w:rsidP="00260947">
            <w:pPr>
              <w:rPr>
                <w:rFonts w:cs="Arial"/>
              </w:rPr>
            </w:pPr>
            <w:r>
              <w:rPr>
                <w:rFonts w:cs="Arial"/>
              </w:rPr>
              <w:t>£87</w:t>
            </w:r>
            <w:r w:rsidR="00260947">
              <w:rPr>
                <w:rFonts w:cs="Arial"/>
              </w:rPr>
              <w:t>,287.50</w:t>
            </w:r>
          </w:p>
          <w:p w14:paraId="58BD7E5C" w14:textId="77777777" w:rsidR="00260947" w:rsidRDefault="00260947" w:rsidP="009673DE">
            <w:pPr>
              <w:rPr>
                <w:rFonts w:cs="Arial"/>
              </w:rPr>
            </w:pPr>
          </w:p>
        </w:tc>
        <w:tc>
          <w:tcPr>
            <w:tcW w:w="3686" w:type="dxa"/>
          </w:tcPr>
          <w:p w14:paraId="78A58787" w14:textId="4A7CD91C" w:rsidR="00260947" w:rsidRDefault="00260947" w:rsidP="00260947">
            <w:pPr>
              <w:rPr>
                <w:rFonts w:cs="Arial"/>
              </w:rPr>
            </w:pPr>
            <w:r>
              <w:rPr>
                <w:rFonts w:cs="Arial"/>
              </w:rPr>
              <w:t xml:space="preserve">Pupil Premium children make </w:t>
            </w:r>
            <w:r w:rsidR="003644CB">
              <w:rPr>
                <w:rFonts w:cs="Arial"/>
              </w:rPr>
              <w:t xml:space="preserve">progress with the aim of achieving or exceeding </w:t>
            </w:r>
            <w:r w:rsidR="00CE53E0">
              <w:rPr>
                <w:rFonts w:cs="Arial"/>
              </w:rPr>
              <w:t>their targets</w:t>
            </w:r>
            <w:r>
              <w:rPr>
                <w:rFonts w:cs="Arial"/>
              </w:rPr>
              <w:t>.</w:t>
            </w:r>
          </w:p>
          <w:p w14:paraId="014D4CC5" w14:textId="77777777" w:rsidR="00260947" w:rsidRDefault="00260947" w:rsidP="009673DE">
            <w:pPr>
              <w:rPr>
                <w:rFonts w:cs="Arial"/>
              </w:rPr>
            </w:pPr>
          </w:p>
        </w:tc>
        <w:tc>
          <w:tcPr>
            <w:tcW w:w="4394" w:type="dxa"/>
          </w:tcPr>
          <w:p w14:paraId="61D3E443" w14:textId="32A1DDB7" w:rsidR="003644CB" w:rsidRDefault="003644CB" w:rsidP="009673DE">
            <w:pPr>
              <w:rPr>
                <w:rFonts w:cs="Arial"/>
                <w:b/>
              </w:rPr>
            </w:pPr>
            <w:r>
              <w:rPr>
                <w:rFonts w:cs="Arial"/>
                <w:b/>
              </w:rPr>
              <w:t>Pupil Premium Children ARE+ at Baseline</w:t>
            </w:r>
          </w:p>
          <w:p w14:paraId="06C38775" w14:textId="7DF026C3" w:rsidR="003644CB" w:rsidRPr="003644CB" w:rsidRDefault="003644CB" w:rsidP="009673DE">
            <w:pPr>
              <w:rPr>
                <w:rFonts w:cs="Arial"/>
              </w:rPr>
            </w:pPr>
            <w:r w:rsidRPr="003644CB">
              <w:rPr>
                <w:rFonts w:cs="Arial"/>
              </w:rPr>
              <w:t>R= 19.8% W= 9.4% M= 8.4%</w:t>
            </w:r>
          </w:p>
          <w:p w14:paraId="575368A2" w14:textId="28BEBCCB" w:rsidR="003644CB" w:rsidRDefault="003644CB" w:rsidP="009673DE">
            <w:pPr>
              <w:rPr>
                <w:rFonts w:cs="Arial"/>
                <w:b/>
              </w:rPr>
            </w:pPr>
            <w:r>
              <w:rPr>
                <w:rFonts w:cs="Arial"/>
                <w:b/>
              </w:rPr>
              <w:t>Pupil Premium Children ARE+ End of Year</w:t>
            </w:r>
          </w:p>
          <w:p w14:paraId="76791919" w14:textId="17CF9160" w:rsidR="003644CB" w:rsidRPr="003644CB" w:rsidRDefault="003644CB" w:rsidP="009673DE">
            <w:pPr>
              <w:rPr>
                <w:rFonts w:cs="Arial"/>
              </w:rPr>
            </w:pPr>
            <w:r w:rsidRPr="003644CB">
              <w:rPr>
                <w:rFonts w:cs="Arial"/>
              </w:rPr>
              <w:t>R= 36.8% W= 33%</w:t>
            </w:r>
            <w:r>
              <w:rPr>
                <w:rFonts w:cs="Arial"/>
              </w:rPr>
              <w:t xml:space="preserve"> M= 33.2%</w:t>
            </w:r>
          </w:p>
          <w:p w14:paraId="36F3A016" w14:textId="77777777" w:rsidR="003644CB" w:rsidRDefault="003644CB" w:rsidP="009673DE">
            <w:pPr>
              <w:rPr>
                <w:rFonts w:cs="Arial"/>
                <w:b/>
              </w:rPr>
            </w:pPr>
          </w:p>
          <w:p w14:paraId="353EED17" w14:textId="77777777" w:rsidR="003644CB" w:rsidRDefault="003644CB" w:rsidP="009673DE">
            <w:pPr>
              <w:rPr>
                <w:rFonts w:cs="Arial"/>
                <w:b/>
              </w:rPr>
            </w:pPr>
          </w:p>
          <w:p w14:paraId="72B2DA7B" w14:textId="77777777" w:rsidR="005D5B3C" w:rsidRDefault="005D5B3C" w:rsidP="003644CB">
            <w:pPr>
              <w:rPr>
                <w:rFonts w:cs="Arial"/>
              </w:rPr>
            </w:pPr>
          </w:p>
        </w:tc>
        <w:tc>
          <w:tcPr>
            <w:tcW w:w="2693" w:type="dxa"/>
          </w:tcPr>
          <w:p w14:paraId="52748982" w14:textId="011DE95A" w:rsidR="00260947" w:rsidRDefault="005D5B3C" w:rsidP="003644CB">
            <w:pPr>
              <w:rPr>
                <w:rFonts w:cs="Arial"/>
              </w:rPr>
            </w:pPr>
            <w:r>
              <w:rPr>
                <w:rFonts w:cs="Arial"/>
              </w:rPr>
              <w:t xml:space="preserve">In future, spend Pupil Premium funding on specific members of staff (Pupil Premium Learning Assistants), rather than portions of their time to heighten their awareness of Pupil Premium children’s progress </w:t>
            </w:r>
            <w:r w:rsidR="003644CB">
              <w:rPr>
                <w:rFonts w:cs="Arial"/>
              </w:rPr>
              <w:t>and focus intervention</w:t>
            </w:r>
          </w:p>
        </w:tc>
      </w:tr>
      <w:tr w:rsidR="003644CB" w14:paraId="3A3BFE7C" w14:textId="77777777" w:rsidTr="00260947">
        <w:tc>
          <w:tcPr>
            <w:tcW w:w="2547" w:type="dxa"/>
          </w:tcPr>
          <w:p w14:paraId="40BD4817" w14:textId="77777777" w:rsidR="00260947" w:rsidRPr="00260947" w:rsidRDefault="00260947" w:rsidP="00260947">
            <w:pPr>
              <w:rPr>
                <w:rFonts w:cs="Arial"/>
                <w:b/>
              </w:rPr>
            </w:pPr>
            <w:r w:rsidRPr="00260947">
              <w:rPr>
                <w:rFonts w:cs="Arial"/>
                <w:b/>
              </w:rPr>
              <w:t>Bramble Den</w:t>
            </w:r>
          </w:p>
          <w:p w14:paraId="388362A9" w14:textId="77777777" w:rsidR="00260947" w:rsidRDefault="00260947" w:rsidP="00260947">
            <w:pPr>
              <w:rPr>
                <w:rFonts w:cs="Arial"/>
              </w:rPr>
            </w:pPr>
            <w:r>
              <w:rPr>
                <w:rFonts w:cs="Arial"/>
              </w:rPr>
              <w:t>Nurture and Learning Hub</w:t>
            </w:r>
          </w:p>
        </w:tc>
        <w:tc>
          <w:tcPr>
            <w:tcW w:w="1984" w:type="dxa"/>
          </w:tcPr>
          <w:p w14:paraId="236CD21A" w14:textId="77777777" w:rsidR="00260947" w:rsidRDefault="00260947" w:rsidP="009673DE">
            <w:pPr>
              <w:rPr>
                <w:rFonts w:cs="Arial"/>
              </w:rPr>
            </w:pPr>
            <w:r>
              <w:rPr>
                <w:rFonts w:cs="Arial"/>
              </w:rPr>
              <w:t>£55,578.20</w:t>
            </w:r>
          </w:p>
        </w:tc>
        <w:tc>
          <w:tcPr>
            <w:tcW w:w="3686" w:type="dxa"/>
          </w:tcPr>
          <w:p w14:paraId="20C4E7B8" w14:textId="07117E0B" w:rsidR="00260947" w:rsidRDefault="00260947" w:rsidP="009673DE">
            <w:pPr>
              <w:rPr>
                <w:rFonts w:cs="Arial"/>
              </w:rPr>
            </w:pPr>
            <w:r>
              <w:rPr>
                <w:rFonts w:cs="Arial"/>
              </w:rPr>
              <w:t>Children who cannot access the mainstream curriculum make good progress</w:t>
            </w:r>
            <w:r w:rsidR="003644CB">
              <w:rPr>
                <w:rFonts w:cs="Arial"/>
              </w:rPr>
              <w:t xml:space="preserve"> appropriate to their needs and are supported to engage with the curriculum</w:t>
            </w:r>
            <w:r>
              <w:rPr>
                <w:rFonts w:cs="Arial"/>
              </w:rPr>
              <w:t>.</w:t>
            </w:r>
          </w:p>
        </w:tc>
        <w:tc>
          <w:tcPr>
            <w:tcW w:w="4394" w:type="dxa"/>
          </w:tcPr>
          <w:tbl>
            <w:tblPr>
              <w:tblStyle w:val="TableGrid"/>
              <w:tblW w:w="0" w:type="auto"/>
              <w:tblLook w:val="04A0" w:firstRow="1" w:lastRow="0" w:firstColumn="1" w:lastColumn="0" w:noHBand="0" w:noVBand="1"/>
            </w:tblPr>
            <w:tblGrid>
              <w:gridCol w:w="1496"/>
              <w:gridCol w:w="985"/>
              <w:gridCol w:w="985"/>
              <w:gridCol w:w="985"/>
            </w:tblGrid>
            <w:tr w:rsidR="00CC7429" w14:paraId="0C401381" w14:textId="77777777" w:rsidTr="00EE6B1E">
              <w:tc>
                <w:tcPr>
                  <w:tcW w:w="1956" w:type="dxa"/>
                </w:tcPr>
                <w:p w14:paraId="3CFA4121" w14:textId="77777777" w:rsidR="00CC7429" w:rsidRDefault="00CC7429" w:rsidP="00CC7429">
                  <w:r>
                    <w:t>PIVATs Area</w:t>
                  </w:r>
                </w:p>
              </w:tc>
              <w:tc>
                <w:tcPr>
                  <w:tcW w:w="3026" w:type="dxa"/>
                </w:tcPr>
                <w:p w14:paraId="67A16D2C" w14:textId="77777777" w:rsidR="00CC7429" w:rsidRDefault="00CC7429" w:rsidP="00CC7429">
                  <w:r>
                    <w:t>Average PIVATS Points Progress Spr 2 to Sum 1</w:t>
                  </w:r>
                </w:p>
              </w:tc>
              <w:tc>
                <w:tcPr>
                  <w:tcW w:w="3039" w:type="dxa"/>
                </w:tcPr>
                <w:p w14:paraId="36E61730" w14:textId="77777777" w:rsidR="00CC7429" w:rsidRDefault="00CC7429" w:rsidP="00CC7429">
                  <w:r>
                    <w:t>Average PIVATS Points Progress Sum 1 to Sum 2</w:t>
                  </w:r>
                </w:p>
              </w:tc>
              <w:tc>
                <w:tcPr>
                  <w:tcW w:w="2769" w:type="dxa"/>
                </w:tcPr>
                <w:p w14:paraId="34145CFD" w14:textId="77777777" w:rsidR="00CC7429" w:rsidRDefault="00CC7429" w:rsidP="00CC7429">
                  <w:r>
                    <w:t>Total PIVATS Progress</w:t>
                  </w:r>
                </w:p>
              </w:tc>
            </w:tr>
            <w:tr w:rsidR="00CC7429" w14:paraId="6DC0A206" w14:textId="77777777" w:rsidTr="00EE6B1E">
              <w:tc>
                <w:tcPr>
                  <w:tcW w:w="1956" w:type="dxa"/>
                </w:tcPr>
                <w:p w14:paraId="1138FB2E" w14:textId="77777777" w:rsidR="00CC7429" w:rsidRDefault="00CC7429" w:rsidP="00CC7429">
                  <w:r>
                    <w:t>Independence</w:t>
                  </w:r>
                </w:p>
              </w:tc>
              <w:tc>
                <w:tcPr>
                  <w:tcW w:w="3026" w:type="dxa"/>
                </w:tcPr>
                <w:p w14:paraId="5208D9D8" w14:textId="77777777" w:rsidR="00CC7429" w:rsidRDefault="00CC7429" w:rsidP="00CC7429">
                  <w:r>
                    <w:t>+0.75</w:t>
                  </w:r>
                </w:p>
              </w:tc>
              <w:tc>
                <w:tcPr>
                  <w:tcW w:w="3039" w:type="dxa"/>
                </w:tcPr>
                <w:p w14:paraId="389A0DE8" w14:textId="77777777" w:rsidR="00CC7429" w:rsidRDefault="00CC7429" w:rsidP="00CC7429">
                  <w:r>
                    <w:t>+1.85</w:t>
                  </w:r>
                </w:p>
              </w:tc>
              <w:tc>
                <w:tcPr>
                  <w:tcW w:w="2769" w:type="dxa"/>
                </w:tcPr>
                <w:p w14:paraId="09146057" w14:textId="77777777" w:rsidR="00CC7429" w:rsidRDefault="00CC7429" w:rsidP="00CC7429">
                  <w:r>
                    <w:t>+2.6</w:t>
                  </w:r>
                </w:p>
              </w:tc>
            </w:tr>
            <w:tr w:rsidR="00CC7429" w14:paraId="2FAC0D46" w14:textId="77777777" w:rsidTr="00EE6B1E">
              <w:tc>
                <w:tcPr>
                  <w:tcW w:w="1956" w:type="dxa"/>
                </w:tcPr>
                <w:p w14:paraId="1214B7C5" w14:textId="77777777" w:rsidR="00CC7429" w:rsidRDefault="00CC7429" w:rsidP="00CC7429">
                  <w:r>
                    <w:t>Interaction</w:t>
                  </w:r>
                </w:p>
              </w:tc>
              <w:tc>
                <w:tcPr>
                  <w:tcW w:w="3026" w:type="dxa"/>
                </w:tcPr>
                <w:p w14:paraId="3FDAB025" w14:textId="77777777" w:rsidR="00CC7429" w:rsidRDefault="00CC7429" w:rsidP="00CC7429">
                  <w:r>
                    <w:t>+0.56</w:t>
                  </w:r>
                </w:p>
              </w:tc>
              <w:tc>
                <w:tcPr>
                  <w:tcW w:w="3039" w:type="dxa"/>
                </w:tcPr>
                <w:p w14:paraId="43A46265" w14:textId="77777777" w:rsidR="00CC7429" w:rsidRDefault="00CC7429" w:rsidP="00CC7429">
                  <w:r>
                    <w:t>+3.84</w:t>
                  </w:r>
                </w:p>
              </w:tc>
              <w:tc>
                <w:tcPr>
                  <w:tcW w:w="2769" w:type="dxa"/>
                </w:tcPr>
                <w:p w14:paraId="145F8633" w14:textId="77777777" w:rsidR="00CC7429" w:rsidRDefault="00CC7429" w:rsidP="00CC7429">
                  <w:r>
                    <w:t>+4.4</w:t>
                  </w:r>
                </w:p>
              </w:tc>
            </w:tr>
            <w:tr w:rsidR="00CC7429" w14:paraId="75006DA2" w14:textId="77777777" w:rsidTr="00EE6B1E">
              <w:tc>
                <w:tcPr>
                  <w:tcW w:w="1956" w:type="dxa"/>
                </w:tcPr>
                <w:p w14:paraId="7685F97D" w14:textId="77777777" w:rsidR="00CC7429" w:rsidRDefault="00CC7429" w:rsidP="00CC7429">
                  <w:r>
                    <w:t>Attention</w:t>
                  </w:r>
                </w:p>
              </w:tc>
              <w:tc>
                <w:tcPr>
                  <w:tcW w:w="3026" w:type="dxa"/>
                </w:tcPr>
                <w:p w14:paraId="0CC1200F" w14:textId="77777777" w:rsidR="00CC7429" w:rsidRDefault="00CC7429" w:rsidP="00CC7429">
                  <w:r>
                    <w:t>+1.4</w:t>
                  </w:r>
                </w:p>
              </w:tc>
              <w:tc>
                <w:tcPr>
                  <w:tcW w:w="3039" w:type="dxa"/>
                </w:tcPr>
                <w:p w14:paraId="67F78570" w14:textId="77777777" w:rsidR="00CC7429" w:rsidRDefault="00CC7429" w:rsidP="00CC7429">
                  <w:r>
                    <w:t>+0.76</w:t>
                  </w:r>
                </w:p>
              </w:tc>
              <w:tc>
                <w:tcPr>
                  <w:tcW w:w="2769" w:type="dxa"/>
                </w:tcPr>
                <w:p w14:paraId="1DC6F70D" w14:textId="77777777" w:rsidR="00CC7429" w:rsidRDefault="00CC7429" w:rsidP="00CC7429">
                  <w:r>
                    <w:t>+2.2</w:t>
                  </w:r>
                </w:p>
              </w:tc>
            </w:tr>
            <w:tr w:rsidR="00CC7429" w14:paraId="6C10D330" w14:textId="77777777" w:rsidTr="00EE6B1E">
              <w:tc>
                <w:tcPr>
                  <w:tcW w:w="1956" w:type="dxa"/>
                </w:tcPr>
                <w:p w14:paraId="2C7ADDBC" w14:textId="77777777" w:rsidR="00CC7429" w:rsidRDefault="00CC7429" w:rsidP="00CC7429">
                  <w:r>
                    <w:t>Combined</w:t>
                  </w:r>
                </w:p>
              </w:tc>
              <w:tc>
                <w:tcPr>
                  <w:tcW w:w="3026" w:type="dxa"/>
                </w:tcPr>
                <w:p w14:paraId="00992EC5" w14:textId="77777777" w:rsidR="00CC7429" w:rsidRDefault="00CC7429" w:rsidP="00CC7429">
                  <w:r>
                    <w:t>+0.9</w:t>
                  </w:r>
                </w:p>
              </w:tc>
              <w:tc>
                <w:tcPr>
                  <w:tcW w:w="3039" w:type="dxa"/>
                </w:tcPr>
                <w:p w14:paraId="0FA3FB42" w14:textId="77777777" w:rsidR="00CC7429" w:rsidRDefault="00CC7429" w:rsidP="00CC7429">
                  <w:r>
                    <w:t>+2.15</w:t>
                  </w:r>
                </w:p>
              </w:tc>
              <w:tc>
                <w:tcPr>
                  <w:tcW w:w="2769" w:type="dxa"/>
                </w:tcPr>
                <w:p w14:paraId="20EAD597" w14:textId="77777777" w:rsidR="00CC7429" w:rsidRDefault="00CC7429" w:rsidP="00CC7429">
                  <w:r>
                    <w:t>+3.1</w:t>
                  </w:r>
                </w:p>
              </w:tc>
            </w:tr>
          </w:tbl>
          <w:p w14:paraId="5C82CC03" w14:textId="77777777" w:rsidR="00260947" w:rsidRDefault="00260947" w:rsidP="009673DE">
            <w:pPr>
              <w:rPr>
                <w:rFonts w:cs="Arial"/>
              </w:rPr>
            </w:pPr>
          </w:p>
          <w:tbl>
            <w:tblPr>
              <w:tblStyle w:val="TableGrid"/>
              <w:tblW w:w="0" w:type="auto"/>
              <w:tblLook w:val="04A0" w:firstRow="1" w:lastRow="0" w:firstColumn="1" w:lastColumn="0" w:noHBand="0" w:noVBand="1"/>
            </w:tblPr>
            <w:tblGrid>
              <w:gridCol w:w="1066"/>
              <w:gridCol w:w="1134"/>
              <w:gridCol w:w="1135"/>
              <w:gridCol w:w="1116"/>
            </w:tblGrid>
            <w:tr w:rsidR="00CC7429" w14:paraId="5FB12E26" w14:textId="77777777" w:rsidTr="00EE6B1E">
              <w:tc>
                <w:tcPr>
                  <w:tcW w:w="1956" w:type="dxa"/>
                </w:tcPr>
                <w:p w14:paraId="20D98328" w14:textId="77777777" w:rsidR="00CC7429" w:rsidRDefault="00CC7429" w:rsidP="00CC7429">
                  <w:r>
                    <w:t>PIVATs Area</w:t>
                  </w:r>
                </w:p>
              </w:tc>
              <w:tc>
                <w:tcPr>
                  <w:tcW w:w="3026" w:type="dxa"/>
                </w:tcPr>
                <w:p w14:paraId="538956DE" w14:textId="77777777" w:rsidR="00CC7429" w:rsidRDefault="00CC7429" w:rsidP="00CC7429">
                  <w:r>
                    <w:t>Average PIVATS Points Progress Spr 2 to Sum 1</w:t>
                  </w:r>
                </w:p>
              </w:tc>
              <w:tc>
                <w:tcPr>
                  <w:tcW w:w="3039" w:type="dxa"/>
                </w:tcPr>
                <w:p w14:paraId="56D66B79" w14:textId="77777777" w:rsidR="00CC7429" w:rsidRDefault="00CC7429" w:rsidP="00CC7429">
                  <w:r>
                    <w:t>Average PIVATS Points Progress Sum 1 to Sum 2</w:t>
                  </w:r>
                </w:p>
              </w:tc>
              <w:tc>
                <w:tcPr>
                  <w:tcW w:w="2769" w:type="dxa"/>
                </w:tcPr>
                <w:p w14:paraId="7AE5DF37" w14:textId="77777777" w:rsidR="00CC7429" w:rsidRDefault="00CC7429" w:rsidP="00CC7429">
                  <w:r>
                    <w:t>Total PIVATS Progress</w:t>
                  </w:r>
                </w:p>
              </w:tc>
            </w:tr>
            <w:tr w:rsidR="00CC7429" w14:paraId="0E732686" w14:textId="77777777" w:rsidTr="00EE6B1E">
              <w:tc>
                <w:tcPr>
                  <w:tcW w:w="1956" w:type="dxa"/>
                </w:tcPr>
                <w:p w14:paraId="2B445AAC" w14:textId="77777777" w:rsidR="00CC7429" w:rsidRDefault="00CC7429" w:rsidP="00CC7429">
                  <w:r>
                    <w:t>Reading</w:t>
                  </w:r>
                </w:p>
              </w:tc>
              <w:tc>
                <w:tcPr>
                  <w:tcW w:w="3026" w:type="dxa"/>
                </w:tcPr>
                <w:p w14:paraId="78573D6A" w14:textId="77777777" w:rsidR="00CC7429" w:rsidRDefault="00CC7429" w:rsidP="00CC7429">
                  <w:r>
                    <w:t>+0.87</w:t>
                  </w:r>
                </w:p>
              </w:tc>
              <w:tc>
                <w:tcPr>
                  <w:tcW w:w="3039" w:type="dxa"/>
                </w:tcPr>
                <w:p w14:paraId="45DC0FE8" w14:textId="77777777" w:rsidR="00CC7429" w:rsidRDefault="00CC7429" w:rsidP="00CC7429">
                  <w:r>
                    <w:t>+1.7</w:t>
                  </w:r>
                </w:p>
              </w:tc>
              <w:tc>
                <w:tcPr>
                  <w:tcW w:w="2769" w:type="dxa"/>
                </w:tcPr>
                <w:p w14:paraId="265B0FA0" w14:textId="77777777" w:rsidR="00CC7429" w:rsidRDefault="00CC7429" w:rsidP="00CC7429">
                  <w:r>
                    <w:t>+2.6</w:t>
                  </w:r>
                </w:p>
              </w:tc>
            </w:tr>
            <w:tr w:rsidR="00CC7429" w14:paraId="641CE12F" w14:textId="77777777" w:rsidTr="00EE6B1E">
              <w:tc>
                <w:tcPr>
                  <w:tcW w:w="1956" w:type="dxa"/>
                </w:tcPr>
                <w:p w14:paraId="72999B66" w14:textId="77777777" w:rsidR="00CC7429" w:rsidRDefault="00CC7429" w:rsidP="00CC7429">
                  <w:r>
                    <w:t>Writing</w:t>
                  </w:r>
                </w:p>
              </w:tc>
              <w:tc>
                <w:tcPr>
                  <w:tcW w:w="3026" w:type="dxa"/>
                </w:tcPr>
                <w:p w14:paraId="09EB8527" w14:textId="77777777" w:rsidR="00CC7429" w:rsidRDefault="00CC7429" w:rsidP="00CC7429">
                  <w:r>
                    <w:t>+0.75</w:t>
                  </w:r>
                </w:p>
              </w:tc>
              <w:tc>
                <w:tcPr>
                  <w:tcW w:w="3039" w:type="dxa"/>
                </w:tcPr>
                <w:p w14:paraId="2B5FEEA1" w14:textId="77777777" w:rsidR="00CC7429" w:rsidRDefault="00CC7429" w:rsidP="00CC7429">
                  <w:r>
                    <w:t>+2.0</w:t>
                  </w:r>
                </w:p>
              </w:tc>
              <w:tc>
                <w:tcPr>
                  <w:tcW w:w="2769" w:type="dxa"/>
                </w:tcPr>
                <w:p w14:paraId="1A525894" w14:textId="77777777" w:rsidR="00CC7429" w:rsidRDefault="00CC7429" w:rsidP="00CC7429">
                  <w:r>
                    <w:t>+2.75</w:t>
                  </w:r>
                </w:p>
              </w:tc>
            </w:tr>
            <w:tr w:rsidR="00CC7429" w14:paraId="1C164F7D" w14:textId="77777777" w:rsidTr="00EE6B1E">
              <w:tc>
                <w:tcPr>
                  <w:tcW w:w="1956" w:type="dxa"/>
                </w:tcPr>
                <w:p w14:paraId="42F7A37D" w14:textId="77777777" w:rsidR="00CC7429" w:rsidRDefault="00CC7429" w:rsidP="00CC7429">
                  <w:r>
                    <w:t>Number</w:t>
                  </w:r>
                </w:p>
              </w:tc>
              <w:tc>
                <w:tcPr>
                  <w:tcW w:w="3026" w:type="dxa"/>
                </w:tcPr>
                <w:p w14:paraId="3147BCF7" w14:textId="77777777" w:rsidR="00CC7429" w:rsidRDefault="00CC7429" w:rsidP="00CC7429">
                  <w:r>
                    <w:t>+0.68</w:t>
                  </w:r>
                </w:p>
              </w:tc>
              <w:tc>
                <w:tcPr>
                  <w:tcW w:w="3039" w:type="dxa"/>
                </w:tcPr>
                <w:p w14:paraId="28291F4E" w14:textId="77777777" w:rsidR="00CC7429" w:rsidRDefault="00CC7429" w:rsidP="00CC7429">
                  <w:r>
                    <w:t>+0.5</w:t>
                  </w:r>
                </w:p>
              </w:tc>
              <w:tc>
                <w:tcPr>
                  <w:tcW w:w="2769" w:type="dxa"/>
                </w:tcPr>
                <w:p w14:paraId="4CA2C96E" w14:textId="77777777" w:rsidR="00CC7429" w:rsidRDefault="00CC7429" w:rsidP="00CC7429">
                  <w:r>
                    <w:t>+1.18</w:t>
                  </w:r>
                </w:p>
              </w:tc>
            </w:tr>
            <w:tr w:rsidR="00CC7429" w14:paraId="58C119EB" w14:textId="77777777" w:rsidTr="00EE6B1E">
              <w:tc>
                <w:tcPr>
                  <w:tcW w:w="1956" w:type="dxa"/>
                </w:tcPr>
                <w:p w14:paraId="1EF42FAD" w14:textId="77777777" w:rsidR="00CC7429" w:rsidRDefault="00CC7429" w:rsidP="00CC7429">
                  <w:r>
                    <w:t>Shape &amp; Space</w:t>
                  </w:r>
                </w:p>
              </w:tc>
              <w:tc>
                <w:tcPr>
                  <w:tcW w:w="3026" w:type="dxa"/>
                </w:tcPr>
                <w:p w14:paraId="18D5BB58" w14:textId="77777777" w:rsidR="00CC7429" w:rsidRDefault="00CC7429" w:rsidP="00CC7429">
                  <w:r>
                    <w:t>+0.24</w:t>
                  </w:r>
                </w:p>
              </w:tc>
              <w:tc>
                <w:tcPr>
                  <w:tcW w:w="3039" w:type="dxa"/>
                </w:tcPr>
                <w:p w14:paraId="5A80DAFC" w14:textId="77777777" w:rsidR="00CC7429" w:rsidRDefault="00CC7429" w:rsidP="00CC7429">
                  <w:r>
                    <w:t>-0.23</w:t>
                  </w:r>
                </w:p>
              </w:tc>
              <w:tc>
                <w:tcPr>
                  <w:tcW w:w="2769" w:type="dxa"/>
                </w:tcPr>
                <w:p w14:paraId="1C5DE258" w14:textId="77777777" w:rsidR="00CC7429" w:rsidRDefault="00CC7429" w:rsidP="00CC7429">
                  <w:r>
                    <w:t>+0.01</w:t>
                  </w:r>
                </w:p>
              </w:tc>
            </w:tr>
            <w:tr w:rsidR="00CC7429" w14:paraId="72DFEA6E" w14:textId="77777777" w:rsidTr="00EE6B1E">
              <w:tc>
                <w:tcPr>
                  <w:tcW w:w="1956" w:type="dxa"/>
                </w:tcPr>
                <w:p w14:paraId="030C1EF2" w14:textId="77777777" w:rsidR="00CC7429" w:rsidRDefault="00CC7429" w:rsidP="00CC7429">
                  <w:r>
                    <w:t>Using &amp; Applying</w:t>
                  </w:r>
                </w:p>
              </w:tc>
              <w:tc>
                <w:tcPr>
                  <w:tcW w:w="3026" w:type="dxa"/>
                </w:tcPr>
                <w:p w14:paraId="030BE3D6" w14:textId="77777777" w:rsidR="00CC7429" w:rsidRDefault="00CC7429" w:rsidP="00CC7429">
                  <w:r>
                    <w:t>+2.3</w:t>
                  </w:r>
                </w:p>
              </w:tc>
              <w:tc>
                <w:tcPr>
                  <w:tcW w:w="3039" w:type="dxa"/>
                </w:tcPr>
                <w:p w14:paraId="7A304BE1" w14:textId="77777777" w:rsidR="00CC7429" w:rsidRDefault="00CC7429" w:rsidP="00CC7429">
                  <w:r>
                    <w:t>+0.57</w:t>
                  </w:r>
                </w:p>
              </w:tc>
              <w:tc>
                <w:tcPr>
                  <w:tcW w:w="2769" w:type="dxa"/>
                </w:tcPr>
                <w:p w14:paraId="29DBDDFD" w14:textId="77777777" w:rsidR="00CC7429" w:rsidRDefault="00CC7429" w:rsidP="00CC7429">
                  <w:r>
                    <w:t>+2.87</w:t>
                  </w:r>
                </w:p>
              </w:tc>
            </w:tr>
          </w:tbl>
          <w:p w14:paraId="13316EA8" w14:textId="77777777" w:rsidR="00CC7429" w:rsidRDefault="00CC7429" w:rsidP="009673DE">
            <w:pPr>
              <w:rPr>
                <w:rFonts w:cs="Arial"/>
              </w:rPr>
            </w:pPr>
          </w:p>
        </w:tc>
        <w:tc>
          <w:tcPr>
            <w:tcW w:w="2693" w:type="dxa"/>
          </w:tcPr>
          <w:p w14:paraId="6A6EDDB3" w14:textId="77777777" w:rsidR="00260947" w:rsidRDefault="00CC7429" w:rsidP="00CC7429">
            <w:pPr>
              <w:rPr>
                <w:rFonts w:cs="Arial"/>
              </w:rPr>
            </w:pPr>
            <w:r>
              <w:rPr>
                <w:rFonts w:cs="Arial"/>
              </w:rPr>
              <w:t>Progress was made by children in the Den in all areas. We will continue to use the Den provision this year, but adapt it so that more children can access it throughout the day to complete specific pieces of work tailored to their needs.</w:t>
            </w:r>
          </w:p>
        </w:tc>
      </w:tr>
      <w:tr w:rsidR="003644CB" w14:paraId="731CEFCB" w14:textId="77777777" w:rsidTr="00204A61">
        <w:trPr>
          <w:trHeight w:val="1945"/>
        </w:trPr>
        <w:tc>
          <w:tcPr>
            <w:tcW w:w="2547" w:type="dxa"/>
          </w:tcPr>
          <w:p w14:paraId="2A9EA873" w14:textId="77777777" w:rsidR="00260947" w:rsidRPr="00260947" w:rsidRDefault="00260947" w:rsidP="009673DE">
            <w:pPr>
              <w:rPr>
                <w:rFonts w:cs="Arial"/>
                <w:b/>
              </w:rPr>
            </w:pPr>
            <w:r w:rsidRPr="00260947">
              <w:rPr>
                <w:rFonts w:cs="Arial"/>
                <w:b/>
              </w:rPr>
              <w:t>Educational Trips</w:t>
            </w:r>
          </w:p>
          <w:p w14:paraId="23B10F9B" w14:textId="77777777" w:rsidR="00260947" w:rsidRDefault="00260947" w:rsidP="009673DE">
            <w:pPr>
              <w:rPr>
                <w:rFonts w:cs="Arial"/>
              </w:rPr>
            </w:pPr>
            <w:r>
              <w:rPr>
                <w:rFonts w:cs="Arial"/>
              </w:rPr>
              <w:t>To broaden children’s horizons</w:t>
            </w:r>
          </w:p>
          <w:p w14:paraId="5AB08041" w14:textId="77777777" w:rsidR="00204A61" w:rsidRDefault="00204A61" w:rsidP="009673DE">
            <w:pPr>
              <w:rPr>
                <w:rFonts w:cs="Arial"/>
              </w:rPr>
            </w:pPr>
          </w:p>
        </w:tc>
        <w:tc>
          <w:tcPr>
            <w:tcW w:w="1984" w:type="dxa"/>
          </w:tcPr>
          <w:p w14:paraId="40351A60" w14:textId="77777777" w:rsidR="00260947" w:rsidRDefault="00204A61" w:rsidP="009673DE">
            <w:pPr>
              <w:rPr>
                <w:rFonts w:cs="Arial"/>
              </w:rPr>
            </w:pPr>
            <w:r>
              <w:rPr>
                <w:rFonts w:cs="Arial"/>
              </w:rPr>
              <w:t>£3000</w:t>
            </w:r>
          </w:p>
        </w:tc>
        <w:tc>
          <w:tcPr>
            <w:tcW w:w="3686" w:type="dxa"/>
          </w:tcPr>
          <w:p w14:paraId="5041A9C5" w14:textId="77777777" w:rsidR="00260947" w:rsidRDefault="00204A61" w:rsidP="009673DE">
            <w:pPr>
              <w:rPr>
                <w:rFonts w:cs="Arial"/>
              </w:rPr>
            </w:pPr>
            <w:r>
              <w:rPr>
                <w:rFonts w:cs="Arial"/>
              </w:rPr>
              <w:t>Children will have been on educational trips which will give them a wide variety of experiences to draw upon through their education.</w:t>
            </w:r>
          </w:p>
        </w:tc>
        <w:tc>
          <w:tcPr>
            <w:tcW w:w="4394" w:type="dxa"/>
          </w:tcPr>
          <w:p w14:paraId="021ABCB1" w14:textId="77777777" w:rsidR="00260947" w:rsidRDefault="005D5B3C" w:rsidP="009673DE">
            <w:pPr>
              <w:rPr>
                <w:rFonts w:cs="Arial"/>
              </w:rPr>
            </w:pPr>
            <w:r>
              <w:rPr>
                <w:rFonts w:cs="Arial"/>
              </w:rPr>
              <w:t xml:space="preserve">The funding enabled trips to take place which could not have otherwise took place. </w:t>
            </w:r>
          </w:p>
        </w:tc>
        <w:tc>
          <w:tcPr>
            <w:tcW w:w="2693" w:type="dxa"/>
          </w:tcPr>
          <w:p w14:paraId="56C588C6" w14:textId="77777777" w:rsidR="00260947" w:rsidRDefault="005D5B3C" w:rsidP="005D5B3C">
            <w:pPr>
              <w:rPr>
                <w:rFonts w:cs="Arial"/>
              </w:rPr>
            </w:pPr>
            <w:r>
              <w:rPr>
                <w:rFonts w:cs="Arial"/>
              </w:rPr>
              <w:t>Continue the use of Pupil Premium money for Educational Trips/</w:t>
            </w:r>
          </w:p>
        </w:tc>
      </w:tr>
      <w:tr w:rsidR="00204A61" w14:paraId="76F050E4" w14:textId="77777777" w:rsidTr="00204A61">
        <w:tc>
          <w:tcPr>
            <w:tcW w:w="15304" w:type="dxa"/>
            <w:gridSpan w:val="5"/>
            <w:shd w:val="clear" w:color="auto" w:fill="E94343"/>
          </w:tcPr>
          <w:p w14:paraId="382823C0" w14:textId="77777777" w:rsidR="00204A61" w:rsidRPr="00204A61" w:rsidRDefault="00204A61" w:rsidP="00204A61">
            <w:pPr>
              <w:pStyle w:val="ListParagraph"/>
              <w:numPr>
                <w:ilvl w:val="0"/>
                <w:numId w:val="33"/>
              </w:numPr>
              <w:rPr>
                <w:rFonts w:cs="Arial"/>
              </w:rPr>
            </w:pPr>
            <w:r>
              <w:rPr>
                <w:rFonts w:cs="Arial"/>
                <w:b/>
              </w:rPr>
              <w:t>Targeted Support- £15,641.20</w:t>
            </w:r>
          </w:p>
        </w:tc>
      </w:tr>
      <w:tr w:rsidR="003644CB" w14:paraId="12F23806" w14:textId="77777777" w:rsidTr="00260947">
        <w:tc>
          <w:tcPr>
            <w:tcW w:w="2547" w:type="dxa"/>
          </w:tcPr>
          <w:p w14:paraId="7C5C3A5A" w14:textId="77777777" w:rsidR="00260947" w:rsidRPr="00204A61" w:rsidRDefault="00204A61" w:rsidP="00EE6B1E">
            <w:pPr>
              <w:rPr>
                <w:rFonts w:cs="Arial"/>
                <w:b/>
              </w:rPr>
            </w:pPr>
            <w:r w:rsidRPr="00204A61">
              <w:rPr>
                <w:rFonts w:cs="Arial"/>
                <w:b/>
              </w:rPr>
              <w:t>Sound Training</w:t>
            </w:r>
          </w:p>
          <w:p w14:paraId="793794E4" w14:textId="77777777" w:rsidR="00204A61" w:rsidRDefault="00204A61" w:rsidP="00EE6B1E">
            <w:pPr>
              <w:rPr>
                <w:rFonts w:cs="Arial"/>
              </w:rPr>
            </w:pPr>
            <w:r>
              <w:rPr>
                <w:rFonts w:cs="Arial"/>
              </w:rPr>
              <w:t>Intervention for Y5 and 6 to improve word reading</w:t>
            </w:r>
          </w:p>
        </w:tc>
        <w:tc>
          <w:tcPr>
            <w:tcW w:w="1984" w:type="dxa"/>
          </w:tcPr>
          <w:p w14:paraId="6457D4F4" w14:textId="77777777" w:rsidR="00260947" w:rsidRDefault="00204A61" w:rsidP="00EE6B1E">
            <w:pPr>
              <w:rPr>
                <w:rFonts w:cs="Arial"/>
              </w:rPr>
            </w:pPr>
            <w:r>
              <w:rPr>
                <w:rFonts w:cs="Arial"/>
              </w:rPr>
              <w:t>£3100</w:t>
            </w:r>
          </w:p>
        </w:tc>
        <w:tc>
          <w:tcPr>
            <w:tcW w:w="3686" w:type="dxa"/>
          </w:tcPr>
          <w:p w14:paraId="189184A9" w14:textId="77777777" w:rsidR="00260947" w:rsidRDefault="00204A61" w:rsidP="00EE6B1E">
            <w:pPr>
              <w:rPr>
                <w:rFonts w:cs="Arial"/>
              </w:rPr>
            </w:pPr>
            <w:r>
              <w:rPr>
                <w:rFonts w:cs="Arial"/>
              </w:rPr>
              <w:t>Children will make accelerated progress in the Single Word Reading Test.</w:t>
            </w:r>
          </w:p>
        </w:tc>
        <w:tc>
          <w:tcPr>
            <w:tcW w:w="4394" w:type="dxa"/>
          </w:tcPr>
          <w:p w14:paraId="219B1014" w14:textId="6900F1C8" w:rsidR="00260947" w:rsidRDefault="003644CB" w:rsidP="00EE6B1E">
            <w:pPr>
              <w:rPr>
                <w:rFonts w:cs="Arial"/>
              </w:rPr>
            </w:pPr>
            <w:r>
              <w:rPr>
                <w:rFonts w:cs="Arial"/>
              </w:rPr>
              <w:t xml:space="preserve">Pupil Premium </w:t>
            </w:r>
            <w:r w:rsidR="005F4DE4">
              <w:rPr>
                <w:rFonts w:cs="Arial"/>
              </w:rPr>
              <w:t>Children increased their reading age scores on the Single Word Reading Test by an average of 18.8 months in six weeks.</w:t>
            </w:r>
          </w:p>
        </w:tc>
        <w:tc>
          <w:tcPr>
            <w:tcW w:w="2693" w:type="dxa"/>
          </w:tcPr>
          <w:p w14:paraId="54C48A15" w14:textId="77777777" w:rsidR="00260947" w:rsidRDefault="005F4DE4" w:rsidP="00EE6B1E">
            <w:pPr>
              <w:rPr>
                <w:rFonts w:cs="Arial"/>
              </w:rPr>
            </w:pPr>
            <w:r>
              <w:rPr>
                <w:rFonts w:cs="Arial"/>
              </w:rPr>
              <w:t>Continue to use next year as the gains in reading scores are very high, but train up own staff to deliver it.</w:t>
            </w:r>
          </w:p>
        </w:tc>
      </w:tr>
      <w:tr w:rsidR="003644CB" w14:paraId="5D3B9758" w14:textId="77777777" w:rsidTr="00260947">
        <w:tc>
          <w:tcPr>
            <w:tcW w:w="2547" w:type="dxa"/>
          </w:tcPr>
          <w:p w14:paraId="715C0356" w14:textId="77777777" w:rsidR="00204A61" w:rsidRDefault="00204A61" w:rsidP="00EE6B1E">
            <w:pPr>
              <w:rPr>
                <w:rFonts w:cs="Arial"/>
              </w:rPr>
            </w:pPr>
            <w:r w:rsidRPr="00204A61">
              <w:rPr>
                <w:rFonts w:cs="Arial"/>
                <w:b/>
              </w:rPr>
              <w:t>Revision Breakfast, lunch and After-school club</w:t>
            </w:r>
            <w:r>
              <w:rPr>
                <w:rFonts w:cs="Arial"/>
              </w:rPr>
              <w:t xml:space="preserve"> </w:t>
            </w:r>
          </w:p>
          <w:p w14:paraId="71F8ED2E" w14:textId="77777777" w:rsidR="00260947" w:rsidRDefault="00204A61" w:rsidP="00EE6B1E">
            <w:pPr>
              <w:rPr>
                <w:rFonts w:cs="Arial"/>
              </w:rPr>
            </w:pPr>
            <w:r>
              <w:rPr>
                <w:rFonts w:cs="Arial"/>
              </w:rPr>
              <w:t>Funded provision (staffing and food) for Year 6 to access additional booster provision.</w:t>
            </w:r>
          </w:p>
          <w:p w14:paraId="75AFF020" w14:textId="77777777" w:rsidR="00204A61" w:rsidRDefault="00204A61" w:rsidP="00EE6B1E">
            <w:pPr>
              <w:rPr>
                <w:rFonts w:cs="Arial"/>
              </w:rPr>
            </w:pPr>
          </w:p>
        </w:tc>
        <w:tc>
          <w:tcPr>
            <w:tcW w:w="1984" w:type="dxa"/>
          </w:tcPr>
          <w:p w14:paraId="799BE38C" w14:textId="77777777" w:rsidR="00260947" w:rsidRDefault="00204A61" w:rsidP="00EE6B1E">
            <w:pPr>
              <w:rPr>
                <w:rFonts w:cs="Arial"/>
              </w:rPr>
            </w:pPr>
            <w:r>
              <w:rPr>
                <w:rFonts w:cs="Arial"/>
              </w:rPr>
              <w:t>£5178</w:t>
            </w:r>
          </w:p>
        </w:tc>
        <w:tc>
          <w:tcPr>
            <w:tcW w:w="3686" w:type="dxa"/>
          </w:tcPr>
          <w:p w14:paraId="6C756FA9" w14:textId="77777777" w:rsidR="00260947" w:rsidRDefault="00204A61" w:rsidP="00EE6B1E">
            <w:pPr>
              <w:rPr>
                <w:rFonts w:cs="Arial"/>
              </w:rPr>
            </w:pPr>
            <w:r>
              <w:rPr>
                <w:rFonts w:cs="Arial"/>
              </w:rPr>
              <w:t>Improve outcomes for Pupil Premium children at the end of Year 6.</w:t>
            </w:r>
          </w:p>
        </w:tc>
        <w:tc>
          <w:tcPr>
            <w:tcW w:w="4394" w:type="dxa"/>
          </w:tcPr>
          <w:p w14:paraId="7049A5B2" w14:textId="77777777" w:rsidR="00260947" w:rsidRDefault="005D5B3C" w:rsidP="00EE6B1E">
            <w:pPr>
              <w:rPr>
                <w:rFonts w:cs="Arial"/>
              </w:rPr>
            </w:pPr>
            <w:r>
              <w:rPr>
                <w:rFonts w:cs="Arial"/>
              </w:rPr>
              <w:t>Year 6</w:t>
            </w:r>
          </w:p>
          <w:p w14:paraId="54668EE1" w14:textId="77777777" w:rsidR="007D66C8" w:rsidRDefault="007D66C8" w:rsidP="007D66C8">
            <w:pPr>
              <w:rPr>
                <w:rFonts w:cs="Arial"/>
              </w:rPr>
            </w:pPr>
            <w:r>
              <w:rPr>
                <w:rFonts w:cs="Arial"/>
              </w:rPr>
              <w:t>ARE+ Baseline</w:t>
            </w:r>
          </w:p>
          <w:p w14:paraId="7D843942" w14:textId="77777777" w:rsidR="007D66C8" w:rsidRDefault="007D66C8" w:rsidP="007D66C8">
            <w:pPr>
              <w:rPr>
                <w:rFonts w:cs="Arial"/>
              </w:rPr>
            </w:pPr>
            <w:r>
              <w:rPr>
                <w:rFonts w:cs="Arial"/>
              </w:rPr>
              <w:t>R= 44% W= 26% M= 26%</w:t>
            </w:r>
          </w:p>
          <w:p w14:paraId="54958BEA" w14:textId="77777777" w:rsidR="007D66C8" w:rsidRDefault="007D66C8" w:rsidP="007D66C8">
            <w:pPr>
              <w:rPr>
                <w:rFonts w:cs="Arial"/>
              </w:rPr>
            </w:pPr>
            <w:r>
              <w:rPr>
                <w:rFonts w:cs="Arial"/>
              </w:rPr>
              <w:t>ARE+ End of Year</w:t>
            </w:r>
          </w:p>
          <w:p w14:paraId="0825826D" w14:textId="77777777" w:rsidR="007D66C8" w:rsidRDefault="007D66C8" w:rsidP="007D66C8">
            <w:pPr>
              <w:rPr>
                <w:rFonts w:cs="Arial"/>
              </w:rPr>
            </w:pPr>
            <w:r>
              <w:rPr>
                <w:rFonts w:cs="Arial"/>
              </w:rPr>
              <w:t>R= 30% W= 55% M= 45%</w:t>
            </w:r>
          </w:p>
          <w:p w14:paraId="22095116" w14:textId="77777777" w:rsidR="007D66C8" w:rsidRDefault="007D66C8" w:rsidP="00EE6B1E">
            <w:pPr>
              <w:rPr>
                <w:rFonts w:cs="Arial"/>
              </w:rPr>
            </w:pPr>
          </w:p>
        </w:tc>
        <w:tc>
          <w:tcPr>
            <w:tcW w:w="2693" w:type="dxa"/>
          </w:tcPr>
          <w:p w14:paraId="5A788964" w14:textId="77777777" w:rsidR="00260947" w:rsidRDefault="00CC7429" w:rsidP="00EE6B1E">
            <w:pPr>
              <w:rPr>
                <w:rFonts w:cs="Arial"/>
              </w:rPr>
            </w:pPr>
            <w:r>
              <w:rPr>
                <w:rFonts w:cs="Arial"/>
              </w:rPr>
              <w:t>Provision worked well in the case of Writing and Mathematics. However, Reading performance was below that expected for Pupil Premium Children- however, there are reasons for this which can be attributed to things other than the booster provision. This provision will continue in 2017/18.</w:t>
            </w:r>
          </w:p>
        </w:tc>
      </w:tr>
      <w:tr w:rsidR="003644CB" w14:paraId="6916B9DA" w14:textId="77777777" w:rsidTr="00E425F9">
        <w:trPr>
          <w:trHeight w:val="2994"/>
        </w:trPr>
        <w:tc>
          <w:tcPr>
            <w:tcW w:w="2547" w:type="dxa"/>
          </w:tcPr>
          <w:p w14:paraId="5229F8E3" w14:textId="77777777" w:rsidR="00260947" w:rsidRPr="00204A61" w:rsidRDefault="00204A61" w:rsidP="00EE6B1E">
            <w:pPr>
              <w:rPr>
                <w:rFonts w:cs="Arial"/>
                <w:b/>
              </w:rPr>
            </w:pPr>
            <w:r w:rsidRPr="00204A61">
              <w:rPr>
                <w:rFonts w:cs="Arial"/>
                <w:b/>
              </w:rPr>
              <w:t>Switch On</w:t>
            </w:r>
          </w:p>
          <w:p w14:paraId="2F3E0837" w14:textId="77777777" w:rsidR="00204A61" w:rsidRDefault="00204A61" w:rsidP="00EE6B1E">
            <w:pPr>
              <w:rPr>
                <w:rFonts w:cs="Arial"/>
              </w:rPr>
            </w:pPr>
            <w:r>
              <w:rPr>
                <w:rFonts w:cs="Arial"/>
              </w:rPr>
              <w:t>Funding for a member of staff to do the Switch On Intervention in Years 2 and 3</w:t>
            </w:r>
            <w:r w:rsidR="00CE53E0">
              <w:rPr>
                <w:rFonts w:cs="Arial"/>
              </w:rPr>
              <w:t>.</w:t>
            </w:r>
          </w:p>
        </w:tc>
        <w:tc>
          <w:tcPr>
            <w:tcW w:w="1984" w:type="dxa"/>
          </w:tcPr>
          <w:p w14:paraId="79CDE118" w14:textId="77777777" w:rsidR="00260947" w:rsidRDefault="00204A61" w:rsidP="00EE6B1E">
            <w:pPr>
              <w:rPr>
                <w:rFonts w:cs="Arial"/>
              </w:rPr>
            </w:pPr>
            <w:r>
              <w:rPr>
                <w:rFonts w:cs="Arial"/>
              </w:rPr>
              <w:t>£7363.20</w:t>
            </w:r>
          </w:p>
        </w:tc>
        <w:tc>
          <w:tcPr>
            <w:tcW w:w="3686" w:type="dxa"/>
          </w:tcPr>
          <w:p w14:paraId="6A4161FB" w14:textId="77777777" w:rsidR="00260947" w:rsidRDefault="00204A61" w:rsidP="00EE6B1E">
            <w:pPr>
              <w:rPr>
                <w:rFonts w:cs="Arial"/>
              </w:rPr>
            </w:pPr>
            <w:r>
              <w:rPr>
                <w:rFonts w:cs="Arial"/>
              </w:rPr>
              <w:t xml:space="preserve">Improve the number of pupil premium children achieving age-related outcomes in </w:t>
            </w:r>
            <w:r w:rsidR="00E425F9">
              <w:rPr>
                <w:rFonts w:cs="Arial"/>
              </w:rPr>
              <w:t xml:space="preserve">Reading in </w:t>
            </w:r>
            <w:r>
              <w:rPr>
                <w:rFonts w:cs="Arial"/>
              </w:rPr>
              <w:t>Years 2 and 3</w:t>
            </w:r>
            <w:r w:rsidR="00CE53E0">
              <w:rPr>
                <w:rFonts w:cs="Arial"/>
              </w:rPr>
              <w:t>.</w:t>
            </w:r>
          </w:p>
        </w:tc>
        <w:tc>
          <w:tcPr>
            <w:tcW w:w="4394" w:type="dxa"/>
          </w:tcPr>
          <w:p w14:paraId="6958DB95" w14:textId="0121FE09" w:rsidR="00260947" w:rsidRDefault="00602099" w:rsidP="00EE6B1E">
            <w:pPr>
              <w:rPr>
                <w:rFonts w:cs="Arial"/>
              </w:rPr>
            </w:pPr>
            <w:r>
              <w:rPr>
                <w:rFonts w:cs="Arial"/>
              </w:rPr>
              <w:t xml:space="preserve">6 children improved their reading book band levels by an average of 13 </w:t>
            </w:r>
            <w:r w:rsidR="00E56EA5">
              <w:rPr>
                <w:rFonts w:cs="Arial"/>
              </w:rPr>
              <w:t xml:space="preserve">book band levels </w:t>
            </w:r>
            <w:r>
              <w:rPr>
                <w:rFonts w:cs="Arial"/>
              </w:rPr>
              <w:t>over the twelve week intervention period.</w:t>
            </w:r>
          </w:p>
        </w:tc>
        <w:tc>
          <w:tcPr>
            <w:tcW w:w="2693" w:type="dxa"/>
          </w:tcPr>
          <w:p w14:paraId="10ECD792" w14:textId="1C87C223" w:rsidR="00260947" w:rsidRDefault="00602099" w:rsidP="00E56EA5">
            <w:pPr>
              <w:rPr>
                <w:rFonts w:cs="Arial"/>
              </w:rPr>
            </w:pPr>
            <w:r>
              <w:rPr>
                <w:rFonts w:cs="Arial"/>
              </w:rPr>
              <w:t>Continue- and expand the provision into years 4 and 5 next year as it</w:t>
            </w:r>
            <w:r w:rsidR="00E56EA5">
              <w:rPr>
                <w:rFonts w:cs="Arial"/>
              </w:rPr>
              <w:t xml:space="preserve"> had the desired impact with significant progress for reading for Pupil Premium children</w:t>
            </w:r>
            <w:r>
              <w:rPr>
                <w:rFonts w:cs="Arial"/>
              </w:rPr>
              <w:t>.</w:t>
            </w:r>
          </w:p>
        </w:tc>
      </w:tr>
      <w:tr w:rsidR="00204A61" w14:paraId="11A9E46E" w14:textId="77777777" w:rsidTr="00204A61">
        <w:tc>
          <w:tcPr>
            <w:tcW w:w="15304" w:type="dxa"/>
            <w:gridSpan w:val="5"/>
            <w:shd w:val="clear" w:color="auto" w:fill="E94343"/>
          </w:tcPr>
          <w:p w14:paraId="27E4DAC8" w14:textId="77777777" w:rsidR="00204A61" w:rsidRPr="00204A61" w:rsidRDefault="005D5B3C" w:rsidP="00204A61">
            <w:pPr>
              <w:pStyle w:val="ListParagraph"/>
              <w:numPr>
                <w:ilvl w:val="0"/>
                <w:numId w:val="33"/>
              </w:numPr>
              <w:rPr>
                <w:rFonts w:cs="Arial"/>
              </w:rPr>
            </w:pPr>
            <w:r>
              <w:rPr>
                <w:rFonts w:cs="Arial"/>
                <w:b/>
              </w:rPr>
              <w:t>Other Approaches- £7800</w:t>
            </w:r>
          </w:p>
        </w:tc>
      </w:tr>
      <w:tr w:rsidR="003644CB" w14:paraId="5C90A1BC" w14:textId="77777777" w:rsidTr="00260947">
        <w:tc>
          <w:tcPr>
            <w:tcW w:w="2547" w:type="dxa"/>
          </w:tcPr>
          <w:p w14:paraId="3DAD0529" w14:textId="77777777" w:rsidR="00260947" w:rsidRPr="005D5B3C" w:rsidRDefault="005D5B3C" w:rsidP="00EE6B1E">
            <w:pPr>
              <w:rPr>
                <w:rFonts w:cs="Arial"/>
                <w:b/>
              </w:rPr>
            </w:pPr>
            <w:r w:rsidRPr="005D5B3C">
              <w:rPr>
                <w:rFonts w:cs="Arial"/>
                <w:b/>
              </w:rPr>
              <w:t>School Uniform Support</w:t>
            </w:r>
          </w:p>
          <w:p w14:paraId="31ABCE63" w14:textId="77777777" w:rsidR="005D5B3C" w:rsidRDefault="005D5B3C" w:rsidP="00EE6B1E">
            <w:pPr>
              <w:rPr>
                <w:rFonts w:cs="Arial"/>
              </w:rPr>
            </w:pPr>
            <w:r>
              <w:rPr>
                <w:rFonts w:cs="Arial"/>
              </w:rPr>
              <w:t>Funding for 2 jumpers provided at the start of the year.</w:t>
            </w:r>
          </w:p>
        </w:tc>
        <w:tc>
          <w:tcPr>
            <w:tcW w:w="1984" w:type="dxa"/>
          </w:tcPr>
          <w:p w14:paraId="2719734C" w14:textId="77777777" w:rsidR="00260947" w:rsidRDefault="005D5B3C" w:rsidP="00EE6B1E">
            <w:pPr>
              <w:rPr>
                <w:rFonts w:cs="Arial"/>
              </w:rPr>
            </w:pPr>
            <w:r>
              <w:rPr>
                <w:rFonts w:cs="Arial"/>
              </w:rPr>
              <w:t>£3800</w:t>
            </w:r>
          </w:p>
        </w:tc>
        <w:tc>
          <w:tcPr>
            <w:tcW w:w="3686" w:type="dxa"/>
          </w:tcPr>
          <w:p w14:paraId="16690174" w14:textId="77777777" w:rsidR="00260947" w:rsidRDefault="005D5B3C" w:rsidP="00EE6B1E">
            <w:pPr>
              <w:rPr>
                <w:rFonts w:cs="Arial"/>
              </w:rPr>
            </w:pPr>
            <w:r>
              <w:rPr>
                <w:rFonts w:cs="Arial"/>
              </w:rPr>
              <w:t>Children will feel proud and a sense of belonging through wearing the Bramble Uniform.</w:t>
            </w:r>
          </w:p>
        </w:tc>
        <w:tc>
          <w:tcPr>
            <w:tcW w:w="4394" w:type="dxa"/>
          </w:tcPr>
          <w:p w14:paraId="5569869F" w14:textId="77777777" w:rsidR="00260947" w:rsidRDefault="00E425F9" w:rsidP="00E425F9">
            <w:pPr>
              <w:rPr>
                <w:rFonts w:cs="Arial"/>
              </w:rPr>
            </w:pPr>
            <w:r>
              <w:rPr>
                <w:rFonts w:cs="Arial"/>
              </w:rPr>
              <w:t>The number of children wearing the uniform was inconsistent. Funding for the jumpers appeared to make no difference to the number of children wearing the uniform. We will continue to supply jumpers to new Reception children as a gift for joining our school, but this will come from the school’s main budget.</w:t>
            </w:r>
          </w:p>
        </w:tc>
        <w:tc>
          <w:tcPr>
            <w:tcW w:w="2693" w:type="dxa"/>
          </w:tcPr>
          <w:p w14:paraId="4C5E668A" w14:textId="02D9DD06" w:rsidR="00260947" w:rsidRDefault="00E425F9" w:rsidP="00EE6B1E">
            <w:pPr>
              <w:rPr>
                <w:rFonts w:cs="Arial"/>
              </w:rPr>
            </w:pPr>
            <w:r>
              <w:rPr>
                <w:rFonts w:cs="Arial"/>
              </w:rPr>
              <w:t>We have implemented a new, stricter uniform policy, including ties and red polo shirts</w:t>
            </w:r>
            <w:r w:rsidR="00E56EA5">
              <w:rPr>
                <w:rFonts w:cs="Arial"/>
              </w:rPr>
              <w:t xml:space="preserve"> as part of our drive for scholastic excellence and to raise expectations</w:t>
            </w:r>
            <w:r>
              <w:rPr>
                <w:rFonts w:cs="Arial"/>
              </w:rPr>
              <w:t>. The children seem to really love their new uniform and take great pride in it.</w:t>
            </w:r>
          </w:p>
        </w:tc>
      </w:tr>
      <w:tr w:rsidR="003644CB" w14:paraId="627F9494" w14:textId="77777777" w:rsidTr="00260947">
        <w:tc>
          <w:tcPr>
            <w:tcW w:w="2547" w:type="dxa"/>
          </w:tcPr>
          <w:p w14:paraId="33998ED3" w14:textId="77777777" w:rsidR="00260947" w:rsidRPr="00E425F9" w:rsidRDefault="005D5B3C" w:rsidP="00EE6B1E">
            <w:pPr>
              <w:rPr>
                <w:rFonts w:cs="Arial"/>
                <w:b/>
              </w:rPr>
            </w:pPr>
            <w:r w:rsidRPr="00E425F9">
              <w:rPr>
                <w:rFonts w:cs="Arial"/>
                <w:b/>
              </w:rPr>
              <w:t>Training and Resources</w:t>
            </w:r>
          </w:p>
          <w:p w14:paraId="25091337" w14:textId="77777777" w:rsidR="005D5B3C" w:rsidRDefault="005D5B3C" w:rsidP="00EE6B1E">
            <w:pPr>
              <w:rPr>
                <w:rFonts w:cs="Arial"/>
              </w:rPr>
            </w:pPr>
            <w:r>
              <w:rPr>
                <w:rFonts w:cs="Arial"/>
              </w:rPr>
              <w:t>Midday Supervisors and children’s play leaders trained and equipped to lead lunchtime activities with the children.</w:t>
            </w:r>
          </w:p>
        </w:tc>
        <w:tc>
          <w:tcPr>
            <w:tcW w:w="1984" w:type="dxa"/>
          </w:tcPr>
          <w:p w14:paraId="6832E14C" w14:textId="77777777" w:rsidR="00260947" w:rsidRDefault="005D5B3C" w:rsidP="00EE6B1E">
            <w:pPr>
              <w:rPr>
                <w:rFonts w:cs="Arial"/>
              </w:rPr>
            </w:pPr>
            <w:r>
              <w:rPr>
                <w:rFonts w:cs="Arial"/>
              </w:rPr>
              <w:t>Training- £1000</w:t>
            </w:r>
          </w:p>
          <w:p w14:paraId="02FA02EB" w14:textId="77777777" w:rsidR="005D5B3C" w:rsidRDefault="005D5B3C" w:rsidP="00EE6B1E">
            <w:pPr>
              <w:rPr>
                <w:rFonts w:cs="Arial"/>
              </w:rPr>
            </w:pPr>
            <w:r>
              <w:rPr>
                <w:rFonts w:cs="Arial"/>
              </w:rPr>
              <w:t>Resources- £3000</w:t>
            </w:r>
          </w:p>
        </w:tc>
        <w:tc>
          <w:tcPr>
            <w:tcW w:w="3686" w:type="dxa"/>
          </w:tcPr>
          <w:p w14:paraId="4C4EB0D6" w14:textId="77777777" w:rsidR="00260947" w:rsidRDefault="005D5B3C" w:rsidP="00EE6B1E">
            <w:pPr>
              <w:rPr>
                <w:rFonts w:cs="Arial"/>
              </w:rPr>
            </w:pPr>
            <w:r>
              <w:rPr>
                <w:rFonts w:cs="Arial"/>
              </w:rPr>
              <w:t>Activities will engage and enthuse children in order for them to stay active and engaged. Children’s behaviour at lunchtimes is good.</w:t>
            </w:r>
          </w:p>
        </w:tc>
        <w:tc>
          <w:tcPr>
            <w:tcW w:w="4394" w:type="dxa"/>
          </w:tcPr>
          <w:p w14:paraId="01E2D5D1" w14:textId="703CACDC" w:rsidR="00E425F9" w:rsidRDefault="00E56EA5" w:rsidP="00E56EA5">
            <w:pPr>
              <w:rPr>
                <w:rFonts w:cs="Arial"/>
              </w:rPr>
            </w:pPr>
            <w:r>
              <w:rPr>
                <w:rFonts w:cs="Arial"/>
              </w:rPr>
              <w:t xml:space="preserve">With the exception of four incidents, </w:t>
            </w:r>
            <w:r w:rsidR="00E425F9">
              <w:rPr>
                <w:rFonts w:cs="Arial"/>
              </w:rPr>
              <w:t xml:space="preserve">Positive Handling Incidents </w:t>
            </w:r>
            <w:r>
              <w:rPr>
                <w:rFonts w:cs="Arial"/>
              </w:rPr>
              <w:t>were limited to the two children for whom plans were in place.</w:t>
            </w:r>
            <w:bookmarkStart w:id="0" w:name="_GoBack"/>
            <w:bookmarkEnd w:id="0"/>
          </w:p>
        </w:tc>
        <w:tc>
          <w:tcPr>
            <w:tcW w:w="2693" w:type="dxa"/>
          </w:tcPr>
          <w:p w14:paraId="763175C2" w14:textId="77777777" w:rsidR="00260947" w:rsidRDefault="00E425F9" w:rsidP="00EE6B1E">
            <w:pPr>
              <w:rPr>
                <w:rFonts w:cs="Arial"/>
              </w:rPr>
            </w:pPr>
            <w:r>
              <w:rPr>
                <w:rFonts w:cs="Arial"/>
              </w:rPr>
              <w:t>The training and resources have worked well at increasing children’s participation but a change in staffing and further training is needed to better engage the children even further.</w:t>
            </w:r>
          </w:p>
        </w:tc>
      </w:tr>
      <w:tr w:rsidR="005D5B3C" w14:paraId="3479CCDE" w14:textId="77777777" w:rsidTr="005D5B3C">
        <w:tc>
          <w:tcPr>
            <w:tcW w:w="12611" w:type="dxa"/>
            <w:gridSpan w:val="4"/>
            <w:shd w:val="clear" w:color="auto" w:fill="E94343"/>
          </w:tcPr>
          <w:p w14:paraId="5373E155" w14:textId="77777777" w:rsidR="005D5B3C" w:rsidRPr="00E425F9" w:rsidRDefault="005D5B3C" w:rsidP="005D5B3C">
            <w:pPr>
              <w:jc w:val="right"/>
              <w:rPr>
                <w:rFonts w:cs="Arial"/>
                <w:b/>
              </w:rPr>
            </w:pPr>
            <w:r w:rsidRPr="00E425F9">
              <w:rPr>
                <w:rFonts w:cs="Arial"/>
                <w:b/>
              </w:rPr>
              <w:t>Total Pupil Premium Spent</w:t>
            </w:r>
          </w:p>
        </w:tc>
        <w:tc>
          <w:tcPr>
            <w:tcW w:w="2693" w:type="dxa"/>
          </w:tcPr>
          <w:p w14:paraId="1F98657A" w14:textId="77777777" w:rsidR="005D5B3C" w:rsidRDefault="005D5B3C" w:rsidP="00EE6B1E">
            <w:pPr>
              <w:rPr>
                <w:rFonts w:cs="Arial"/>
              </w:rPr>
            </w:pPr>
            <w:r>
              <w:rPr>
                <w:rFonts w:cs="Arial"/>
              </w:rPr>
              <w:t>£169,919</w:t>
            </w:r>
          </w:p>
        </w:tc>
      </w:tr>
    </w:tbl>
    <w:p w14:paraId="3FB5286E" w14:textId="77777777" w:rsidR="00260947" w:rsidRDefault="00260947" w:rsidP="009673DE">
      <w:pPr>
        <w:rPr>
          <w:rFonts w:cs="Arial"/>
        </w:rPr>
      </w:pPr>
    </w:p>
    <w:p w14:paraId="23DCDE40" w14:textId="77777777" w:rsidR="00982AF1" w:rsidRPr="004F5CC7" w:rsidRDefault="00982AF1"/>
    <w:sectPr w:rsidR="00982AF1" w:rsidRPr="004F5CC7" w:rsidSect="009673DE">
      <w:pgSz w:w="16838" w:h="11906" w:orient="landscape"/>
      <w:pgMar w:top="709"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59"/>
    <w:multiLevelType w:val="hybridMultilevel"/>
    <w:tmpl w:val="0186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1D1D"/>
    <w:multiLevelType w:val="hybridMultilevel"/>
    <w:tmpl w:val="0FF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04A5F"/>
    <w:multiLevelType w:val="hybridMultilevel"/>
    <w:tmpl w:val="E626D694"/>
    <w:lvl w:ilvl="0" w:tplc="8D36FC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6107"/>
    <w:multiLevelType w:val="hybridMultilevel"/>
    <w:tmpl w:val="F63E6E94"/>
    <w:lvl w:ilvl="0" w:tplc="F3D0066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6EB2"/>
    <w:multiLevelType w:val="hybridMultilevel"/>
    <w:tmpl w:val="E4D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9C5"/>
    <w:multiLevelType w:val="hybridMultilevel"/>
    <w:tmpl w:val="6B6800E4"/>
    <w:lvl w:ilvl="0" w:tplc="F74477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CE118E"/>
    <w:multiLevelType w:val="hybridMultilevel"/>
    <w:tmpl w:val="43D8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F58BC"/>
    <w:multiLevelType w:val="hybridMultilevel"/>
    <w:tmpl w:val="BB02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C2E5A"/>
    <w:multiLevelType w:val="hybridMultilevel"/>
    <w:tmpl w:val="282A292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4E4233"/>
    <w:multiLevelType w:val="hybridMultilevel"/>
    <w:tmpl w:val="C8AA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D3D1601"/>
    <w:multiLevelType w:val="hybridMultilevel"/>
    <w:tmpl w:val="948E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C3EAB"/>
    <w:multiLevelType w:val="hybridMultilevel"/>
    <w:tmpl w:val="C31A6442"/>
    <w:lvl w:ilvl="0" w:tplc="AFF8700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7F4C6B"/>
    <w:multiLevelType w:val="hybridMultilevel"/>
    <w:tmpl w:val="D8E6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53557"/>
    <w:multiLevelType w:val="hybridMultilevel"/>
    <w:tmpl w:val="70BE90A6"/>
    <w:lvl w:ilvl="0" w:tplc="4CFA864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83ABF"/>
    <w:multiLevelType w:val="hybridMultilevel"/>
    <w:tmpl w:val="6D40C4AC"/>
    <w:lvl w:ilvl="0" w:tplc="BC06B3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5428E"/>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E07B8"/>
    <w:multiLevelType w:val="hybridMultilevel"/>
    <w:tmpl w:val="30C4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63D89"/>
    <w:multiLevelType w:val="hybridMultilevel"/>
    <w:tmpl w:val="FFD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C437E"/>
    <w:multiLevelType w:val="hybridMultilevel"/>
    <w:tmpl w:val="0B3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11D87"/>
    <w:multiLevelType w:val="hybridMultilevel"/>
    <w:tmpl w:val="6002B3F4"/>
    <w:lvl w:ilvl="0" w:tplc="8C065BB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61BEE"/>
    <w:multiLevelType w:val="hybridMultilevel"/>
    <w:tmpl w:val="E2BC04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EC3AF7"/>
    <w:multiLevelType w:val="hybridMultilevel"/>
    <w:tmpl w:val="A8D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E12CB5"/>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46229C9"/>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B3748B6"/>
    <w:multiLevelType w:val="hybridMultilevel"/>
    <w:tmpl w:val="EF2CF5C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8"/>
  </w:num>
  <w:num w:numId="2">
    <w:abstractNumId w:val="11"/>
  </w:num>
  <w:num w:numId="3">
    <w:abstractNumId w:val="25"/>
  </w:num>
  <w:num w:numId="4">
    <w:abstractNumId w:val="22"/>
  </w:num>
  <w:num w:numId="5">
    <w:abstractNumId w:val="10"/>
  </w:num>
  <w:num w:numId="6">
    <w:abstractNumId w:val="0"/>
  </w:num>
  <w:num w:numId="7">
    <w:abstractNumId w:val="7"/>
  </w:num>
  <w:num w:numId="8">
    <w:abstractNumId w:val="19"/>
  </w:num>
  <w:num w:numId="9">
    <w:abstractNumId w:val="14"/>
  </w:num>
  <w:num w:numId="10">
    <w:abstractNumId w:val="1"/>
  </w:num>
  <w:num w:numId="11">
    <w:abstractNumId w:val="5"/>
  </w:num>
  <w:num w:numId="12">
    <w:abstractNumId w:val="21"/>
  </w:num>
  <w:num w:numId="13">
    <w:abstractNumId w:val="20"/>
  </w:num>
  <w:num w:numId="14">
    <w:abstractNumId w:val="24"/>
  </w:num>
  <w:num w:numId="15">
    <w:abstractNumId w:val="8"/>
  </w:num>
  <w:num w:numId="16">
    <w:abstractNumId w:val="12"/>
  </w:num>
  <w:num w:numId="17">
    <w:abstractNumId w:val="15"/>
  </w:num>
  <w:num w:numId="18">
    <w:abstractNumId w:val="2"/>
  </w:num>
  <w:num w:numId="19">
    <w:abstractNumId w:val="2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3"/>
  </w:num>
  <w:num w:numId="26">
    <w:abstractNumId w:val="9"/>
  </w:num>
  <w:num w:numId="27">
    <w:abstractNumId w:val="28"/>
  </w:num>
  <w:num w:numId="28">
    <w:abstractNumId w:val="13"/>
  </w:num>
  <w:num w:numId="29">
    <w:abstractNumId w:val="26"/>
  </w:num>
  <w:num w:numId="30">
    <w:abstractNumId w:val="27"/>
  </w:num>
  <w:num w:numId="31">
    <w:abstractNumId w:val="4"/>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41"/>
    <w:rsid w:val="00001CD7"/>
    <w:rsid w:val="00012FED"/>
    <w:rsid w:val="00040F7C"/>
    <w:rsid w:val="00041529"/>
    <w:rsid w:val="000427B3"/>
    <w:rsid w:val="000A3D05"/>
    <w:rsid w:val="000A4D03"/>
    <w:rsid w:val="000A4D20"/>
    <w:rsid w:val="000B7BAF"/>
    <w:rsid w:val="001168FE"/>
    <w:rsid w:val="001173C4"/>
    <w:rsid w:val="0013068D"/>
    <w:rsid w:val="0015488F"/>
    <w:rsid w:val="0019294B"/>
    <w:rsid w:val="001C2704"/>
    <w:rsid w:val="001D731F"/>
    <w:rsid w:val="001F38D8"/>
    <w:rsid w:val="00204A61"/>
    <w:rsid w:val="00225277"/>
    <w:rsid w:val="00225C3E"/>
    <w:rsid w:val="002271EB"/>
    <w:rsid w:val="0025310F"/>
    <w:rsid w:val="00260947"/>
    <w:rsid w:val="002800CE"/>
    <w:rsid w:val="002B491E"/>
    <w:rsid w:val="002D5076"/>
    <w:rsid w:val="002F334A"/>
    <w:rsid w:val="002F4969"/>
    <w:rsid w:val="00305BF9"/>
    <w:rsid w:val="00343C7C"/>
    <w:rsid w:val="00344BDA"/>
    <w:rsid w:val="003644CB"/>
    <w:rsid w:val="00373042"/>
    <w:rsid w:val="00393086"/>
    <w:rsid w:val="003B4022"/>
    <w:rsid w:val="0040686A"/>
    <w:rsid w:val="0042779B"/>
    <w:rsid w:val="004415A7"/>
    <w:rsid w:val="00445AD2"/>
    <w:rsid w:val="00462A4D"/>
    <w:rsid w:val="004B4C5B"/>
    <w:rsid w:val="004D4EAB"/>
    <w:rsid w:val="004E0010"/>
    <w:rsid w:val="004E37A1"/>
    <w:rsid w:val="004F073F"/>
    <w:rsid w:val="004F5CC7"/>
    <w:rsid w:val="00501DBA"/>
    <w:rsid w:val="00532538"/>
    <w:rsid w:val="00536672"/>
    <w:rsid w:val="00585649"/>
    <w:rsid w:val="00592FC7"/>
    <w:rsid w:val="005957FA"/>
    <w:rsid w:val="005A5C34"/>
    <w:rsid w:val="005B6036"/>
    <w:rsid w:val="005D04F5"/>
    <w:rsid w:val="005D5B3C"/>
    <w:rsid w:val="005D6D82"/>
    <w:rsid w:val="005E4091"/>
    <w:rsid w:val="005F4DE4"/>
    <w:rsid w:val="00602099"/>
    <w:rsid w:val="00623C5A"/>
    <w:rsid w:val="00651B47"/>
    <w:rsid w:val="006C126E"/>
    <w:rsid w:val="006D3768"/>
    <w:rsid w:val="006D4962"/>
    <w:rsid w:val="007019FA"/>
    <w:rsid w:val="00706832"/>
    <w:rsid w:val="00716022"/>
    <w:rsid w:val="007244ED"/>
    <w:rsid w:val="00732FC6"/>
    <w:rsid w:val="007335EF"/>
    <w:rsid w:val="00765D27"/>
    <w:rsid w:val="00785D79"/>
    <w:rsid w:val="00786864"/>
    <w:rsid w:val="007A2014"/>
    <w:rsid w:val="007D66C8"/>
    <w:rsid w:val="00803A85"/>
    <w:rsid w:val="00807C53"/>
    <w:rsid w:val="00827341"/>
    <w:rsid w:val="008331F7"/>
    <w:rsid w:val="00841FFB"/>
    <w:rsid w:val="008737B6"/>
    <w:rsid w:val="00881A89"/>
    <w:rsid w:val="008845E7"/>
    <w:rsid w:val="008959DD"/>
    <w:rsid w:val="00896C90"/>
    <w:rsid w:val="008B1685"/>
    <w:rsid w:val="008D0945"/>
    <w:rsid w:val="008F63D5"/>
    <w:rsid w:val="00922189"/>
    <w:rsid w:val="009673DE"/>
    <w:rsid w:val="00982AF1"/>
    <w:rsid w:val="009B2E9B"/>
    <w:rsid w:val="009B7A2A"/>
    <w:rsid w:val="009D1628"/>
    <w:rsid w:val="009D6D13"/>
    <w:rsid w:val="009F7AEB"/>
    <w:rsid w:val="00A176F4"/>
    <w:rsid w:val="00A237B4"/>
    <w:rsid w:val="00A507ED"/>
    <w:rsid w:val="00A51BB1"/>
    <w:rsid w:val="00A677FC"/>
    <w:rsid w:val="00AA549F"/>
    <w:rsid w:val="00AC24F4"/>
    <w:rsid w:val="00AC55C3"/>
    <w:rsid w:val="00AC6850"/>
    <w:rsid w:val="00AE0044"/>
    <w:rsid w:val="00B25633"/>
    <w:rsid w:val="00B31BAA"/>
    <w:rsid w:val="00B33984"/>
    <w:rsid w:val="00B7435B"/>
    <w:rsid w:val="00BB53CE"/>
    <w:rsid w:val="00BD4B38"/>
    <w:rsid w:val="00BD5CB8"/>
    <w:rsid w:val="00BF0530"/>
    <w:rsid w:val="00BF7C68"/>
    <w:rsid w:val="00C11842"/>
    <w:rsid w:val="00C21734"/>
    <w:rsid w:val="00C41828"/>
    <w:rsid w:val="00C66172"/>
    <w:rsid w:val="00C6778A"/>
    <w:rsid w:val="00C7658C"/>
    <w:rsid w:val="00CA68D9"/>
    <w:rsid w:val="00CC7429"/>
    <w:rsid w:val="00CE53E0"/>
    <w:rsid w:val="00D037AC"/>
    <w:rsid w:val="00D16BB3"/>
    <w:rsid w:val="00D47EA3"/>
    <w:rsid w:val="00D57944"/>
    <w:rsid w:val="00D63E76"/>
    <w:rsid w:val="00D86B49"/>
    <w:rsid w:val="00DB3F00"/>
    <w:rsid w:val="00DB48D6"/>
    <w:rsid w:val="00DB5034"/>
    <w:rsid w:val="00DC5FB6"/>
    <w:rsid w:val="00DD42B1"/>
    <w:rsid w:val="00DE2823"/>
    <w:rsid w:val="00E05303"/>
    <w:rsid w:val="00E070A3"/>
    <w:rsid w:val="00E1043B"/>
    <w:rsid w:val="00E167E0"/>
    <w:rsid w:val="00E3482F"/>
    <w:rsid w:val="00E425F9"/>
    <w:rsid w:val="00E56EA5"/>
    <w:rsid w:val="00E73A22"/>
    <w:rsid w:val="00E75258"/>
    <w:rsid w:val="00E9342B"/>
    <w:rsid w:val="00EA733E"/>
    <w:rsid w:val="00EB2F03"/>
    <w:rsid w:val="00EC3827"/>
    <w:rsid w:val="00EF73A8"/>
    <w:rsid w:val="00EF78B6"/>
    <w:rsid w:val="00F2307B"/>
    <w:rsid w:val="00F24DE8"/>
    <w:rsid w:val="00F5140E"/>
    <w:rsid w:val="00F647A4"/>
    <w:rsid w:val="00FC7B18"/>
    <w:rsid w:val="00FD6105"/>
    <w:rsid w:val="00FF2E13"/>
    <w:rsid w:val="00FF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A84C"/>
  <w15:chartTrackingRefBased/>
  <w15:docId w15:val="{1A89E6F9-3CA9-4B2D-8D33-932E4E7B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41"/>
    <w:pPr>
      <w:spacing w:after="200" w:line="276" w:lineRule="auto"/>
    </w:pPr>
  </w:style>
  <w:style w:type="paragraph" w:styleId="Heading1">
    <w:name w:val="heading 1"/>
    <w:basedOn w:val="Normal"/>
    <w:next w:val="Normal"/>
    <w:link w:val="Heading1Char"/>
    <w:uiPriority w:val="9"/>
    <w:qFormat/>
    <w:rsid w:val="00001CD7"/>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7341"/>
    <w:rPr>
      <w:color w:val="0000FF"/>
      <w:u w:val="single"/>
    </w:rPr>
  </w:style>
  <w:style w:type="table" w:customStyle="1" w:styleId="TableGrid3">
    <w:name w:val="Table Grid3"/>
    <w:basedOn w:val="TableNormal"/>
    <w:next w:val="TableGrid"/>
    <w:rsid w:val="008273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27341"/>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827341"/>
    <w:pPr>
      <w:spacing w:after="140" w:line="288" w:lineRule="auto"/>
    </w:pPr>
  </w:style>
  <w:style w:type="paragraph" w:customStyle="1" w:styleId="Default">
    <w:name w:val="Default"/>
    <w:rsid w:val="0082734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2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3DE"/>
    <w:pPr>
      <w:spacing w:after="0" w:line="240" w:lineRule="auto"/>
      <w:ind w:left="720"/>
    </w:pPr>
  </w:style>
  <w:style w:type="character" w:styleId="CommentReference">
    <w:name w:val="annotation reference"/>
    <w:basedOn w:val="DefaultParagraphFont"/>
    <w:uiPriority w:val="99"/>
    <w:semiHidden/>
    <w:unhideWhenUsed/>
    <w:rsid w:val="007335EF"/>
    <w:rPr>
      <w:sz w:val="16"/>
      <w:szCs w:val="16"/>
    </w:rPr>
  </w:style>
  <w:style w:type="paragraph" w:styleId="CommentText">
    <w:name w:val="annotation text"/>
    <w:basedOn w:val="Normal"/>
    <w:link w:val="CommentTextChar"/>
    <w:uiPriority w:val="99"/>
    <w:semiHidden/>
    <w:unhideWhenUsed/>
    <w:rsid w:val="007335EF"/>
    <w:pPr>
      <w:spacing w:line="240" w:lineRule="auto"/>
    </w:pPr>
    <w:rPr>
      <w:sz w:val="20"/>
      <w:szCs w:val="20"/>
    </w:rPr>
  </w:style>
  <w:style w:type="character" w:customStyle="1" w:styleId="CommentTextChar">
    <w:name w:val="Comment Text Char"/>
    <w:basedOn w:val="DefaultParagraphFont"/>
    <w:link w:val="CommentText"/>
    <w:uiPriority w:val="99"/>
    <w:semiHidden/>
    <w:rsid w:val="007335EF"/>
    <w:rPr>
      <w:sz w:val="20"/>
      <w:szCs w:val="20"/>
    </w:rPr>
  </w:style>
  <w:style w:type="paragraph" w:styleId="CommentSubject">
    <w:name w:val="annotation subject"/>
    <w:basedOn w:val="CommentText"/>
    <w:next w:val="CommentText"/>
    <w:link w:val="CommentSubjectChar"/>
    <w:uiPriority w:val="99"/>
    <w:semiHidden/>
    <w:unhideWhenUsed/>
    <w:rsid w:val="007335EF"/>
    <w:rPr>
      <w:b/>
      <w:bCs/>
    </w:rPr>
  </w:style>
  <w:style w:type="character" w:customStyle="1" w:styleId="CommentSubjectChar">
    <w:name w:val="Comment Subject Char"/>
    <w:basedOn w:val="CommentTextChar"/>
    <w:link w:val="CommentSubject"/>
    <w:uiPriority w:val="99"/>
    <w:semiHidden/>
    <w:rsid w:val="007335EF"/>
    <w:rPr>
      <w:b/>
      <w:bCs/>
      <w:sz w:val="20"/>
      <w:szCs w:val="20"/>
    </w:rPr>
  </w:style>
  <w:style w:type="paragraph" w:styleId="BalloonText">
    <w:name w:val="Balloon Text"/>
    <w:basedOn w:val="Normal"/>
    <w:link w:val="BalloonTextChar"/>
    <w:uiPriority w:val="99"/>
    <w:semiHidden/>
    <w:unhideWhenUsed/>
    <w:rsid w:val="00733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5EF"/>
    <w:rPr>
      <w:rFonts w:ascii="Segoe UI" w:hAnsi="Segoe UI" w:cs="Segoe UI"/>
      <w:sz w:val="18"/>
      <w:szCs w:val="18"/>
    </w:rPr>
  </w:style>
  <w:style w:type="character" w:customStyle="1" w:styleId="Heading1Char">
    <w:name w:val="Heading 1 Char"/>
    <w:basedOn w:val="DefaultParagraphFont"/>
    <w:link w:val="Heading1"/>
    <w:uiPriority w:val="9"/>
    <w:rsid w:val="00001CD7"/>
    <w:rPr>
      <w:rFonts w:asciiTheme="majorHAnsi" w:eastAsiaTheme="majorEastAsia" w:hAnsiTheme="majorHAnsi" w:cstheme="majorBidi"/>
      <w:color w:val="3E762A" w:themeColor="accent1" w:themeShade="BF"/>
      <w:sz w:val="32"/>
      <w:szCs w:val="32"/>
    </w:rPr>
  </w:style>
  <w:style w:type="paragraph" w:styleId="NormalWeb">
    <w:name w:val="Normal (Web)"/>
    <w:basedOn w:val="Normal"/>
    <w:uiPriority w:val="99"/>
    <w:semiHidden/>
    <w:unhideWhenUsed/>
    <w:rsid w:val="005856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3998">
      <w:bodyDiv w:val="1"/>
      <w:marLeft w:val="0"/>
      <w:marRight w:val="0"/>
      <w:marTop w:val="0"/>
      <w:marBottom w:val="0"/>
      <w:divBdr>
        <w:top w:val="none" w:sz="0" w:space="0" w:color="auto"/>
        <w:left w:val="none" w:sz="0" w:space="0" w:color="auto"/>
        <w:bottom w:val="none" w:sz="0" w:space="0" w:color="auto"/>
        <w:right w:val="none" w:sz="0" w:space="0" w:color="auto"/>
      </w:divBdr>
    </w:div>
    <w:div w:id="522865572">
      <w:bodyDiv w:val="1"/>
      <w:marLeft w:val="0"/>
      <w:marRight w:val="0"/>
      <w:marTop w:val="0"/>
      <w:marBottom w:val="0"/>
      <w:divBdr>
        <w:top w:val="none" w:sz="0" w:space="0" w:color="auto"/>
        <w:left w:val="none" w:sz="0" w:space="0" w:color="auto"/>
        <w:bottom w:val="none" w:sz="0" w:space="0" w:color="auto"/>
        <w:right w:val="none" w:sz="0" w:space="0" w:color="auto"/>
      </w:divBdr>
    </w:div>
    <w:div w:id="683214342">
      <w:bodyDiv w:val="1"/>
      <w:marLeft w:val="0"/>
      <w:marRight w:val="0"/>
      <w:marTop w:val="0"/>
      <w:marBottom w:val="0"/>
      <w:divBdr>
        <w:top w:val="none" w:sz="0" w:space="0" w:color="auto"/>
        <w:left w:val="none" w:sz="0" w:space="0" w:color="auto"/>
        <w:bottom w:val="none" w:sz="0" w:space="0" w:color="auto"/>
        <w:right w:val="none" w:sz="0" w:space="0" w:color="auto"/>
      </w:divBdr>
    </w:div>
    <w:div w:id="1229848753">
      <w:bodyDiv w:val="1"/>
      <w:marLeft w:val="0"/>
      <w:marRight w:val="0"/>
      <w:marTop w:val="0"/>
      <w:marBottom w:val="0"/>
      <w:divBdr>
        <w:top w:val="none" w:sz="0" w:space="0" w:color="auto"/>
        <w:left w:val="none" w:sz="0" w:space="0" w:color="auto"/>
        <w:bottom w:val="none" w:sz="0" w:space="0" w:color="auto"/>
        <w:right w:val="none" w:sz="0" w:space="0" w:color="auto"/>
      </w:divBdr>
    </w:div>
    <w:div w:id="1467312688">
      <w:bodyDiv w:val="1"/>
      <w:marLeft w:val="0"/>
      <w:marRight w:val="0"/>
      <w:marTop w:val="0"/>
      <w:marBottom w:val="0"/>
      <w:divBdr>
        <w:top w:val="none" w:sz="0" w:space="0" w:color="auto"/>
        <w:left w:val="none" w:sz="0" w:space="0" w:color="auto"/>
        <w:bottom w:val="none" w:sz="0" w:space="0" w:color="auto"/>
        <w:right w:val="none" w:sz="0" w:space="0" w:color="auto"/>
      </w:divBdr>
    </w:div>
    <w:div w:id="1565945670">
      <w:bodyDiv w:val="1"/>
      <w:marLeft w:val="0"/>
      <w:marRight w:val="0"/>
      <w:marTop w:val="0"/>
      <w:marBottom w:val="0"/>
      <w:divBdr>
        <w:top w:val="none" w:sz="0" w:space="0" w:color="auto"/>
        <w:left w:val="none" w:sz="0" w:space="0" w:color="auto"/>
        <w:bottom w:val="none" w:sz="0" w:space="0" w:color="auto"/>
        <w:right w:val="none" w:sz="0" w:space="0" w:color="auto"/>
      </w:divBdr>
    </w:div>
    <w:div w:id="2024282216">
      <w:bodyDiv w:val="1"/>
      <w:marLeft w:val="0"/>
      <w:marRight w:val="0"/>
      <w:marTop w:val="0"/>
      <w:marBottom w:val="0"/>
      <w:divBdr>
        <w:top w:val="none" w:sz="0" w:space="0" w:color="auto"/>
        <w:left w:val="none" w:sz="0" w:space="0" w:color="auto"/>
        <w:bottom w:val="none" w:sz="0" w:space="0" w:color="auto"/>
        <w:right w:val="none" w:sz="0" w:space="0" w:color="auto"/>
      </w:divBdr>
    </w:div>
    <w:div w:id="2075426751">
      <w:bodyDiv w:val="1"/>
      <w:marLeft w:val="0"/>
      <w:marRight w:val="0"/>
      <w:marTop w:val="0"/>
      <w:marBottom w:val="0"/>
      <w:divBdr>
        <w:top w:val="none" w:sz="0" w:space="0" w:color="auto"/>
        <w:left w:val="none" w:sz="0" w:space="0" w:color="auto"/>
        <w:bottom w:val="none" w:sz="0" w:space="0" w:color="auto"/>
        <w:right w:val="none" w:sz="0" w:space="0" w:color="auto"/>
      </w:divBdr>
    </w:div>
    <w:div w:id="21306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ED75BBD19E046A7A6E43EBCC1A004" ma:contentTypeVersion="1" ma:contentTypeDescription="Create a new document." ma:contentTypeScope="" ma:versionID="06fabf39c483eba6f11c559817be7d71">
  <xsd:schema xmlns:xsd="http://www.w3.org/2001/XMLSchema" xmlns:xs="http://www.w3.org/2001/XMLSchema" xmlns:p="http://schemas.microsoft.com/office/2006/metadata/properties" xmlns:ns2="a3adadb9-fac9-4223-a78b-88f224b94a46" targetNamespace="http://schemas.microsoft.com/office/2006/metadata/properties" ma:root="true" ma:fieldsID="164ec9c2ebcbe29dae5bbe6e703a6419" ns2:_="">
    <xsd:import namespace="a3adadb9-fac9-4223-a78b-88f224b94a46"/>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dadb9-fac9-4223-a78b-88f224b94a46"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3adadb9-fac9-4223-a78b-88f224b94a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C0A7-8369-4C36-AD04-FB74DFB2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dadb9-fac9-4223-a78b-88f224b94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D8EA8-48A2-40EE-B2D4-708C01CC7F53}">
  <ds:schemaRefs>
    <ds:schemaRef ds:uri="http://schemas.microsoft.com/sharepoint/v3/contenttype/forms"/>
  </ds:schemaRefs>
</ds:datastoreItem>
</file>

<file path=customXml/itemProps3.xml><?xml version="1.0" encoding="utf-8"?>
<ds:datastoreItem xmlns:ds="http://schemas.openxmlformats.org/officeDocument/2006/customXml" ds:itemID="{6111BCC2-49FB-4E0E-821A-ED0C1C420907}">
  <ds:schemaRefs>
    <ds:schemaRef ds:uri="http://schemas.openxmlformats.org/package/2006/metadata/core-properties"/>
    <ds:schemaRef ds:uri="a3adadb9-fac9-4223-a78b-88f224b94a46"/>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108A7134-2DC6-416F-802B-396F10C0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Bramble Academy</vt:lpstr>
    </vt:vector>
  </TitlesOfParts>
  <Company>The Evolve Trust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Bramble Academy</dc:title>
  <dc:subject/>
  <dc:creator>Atkin Carl</dc:creator>
  <cp:keywords/>
  <dc:description/>
  <cp:lastModifiedBy>Sharp Simon</cp:lastModifiedBy>
  <cp:revision>2</cp:revision>
  <cp:lastPrinted>2016-10-05T13:11:00Z</cp:lastPrinted>
  <dcterms:created xsi:type="dcterms:W3CDTF">2017-10-03T09:49:00Z</dcterms:created>
  <dcterms:modified xsi:type="dcterms:W3CDTF">2017-10-03T09:49:00Z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0x010100165ED75BBD19E046A7A6E43EBCC1A004</vt:lpwstr>
  </property>
</Properties>
</file>